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2B6" w:rsidRPr="007E605F" w:rsidRDefault="00C1661E" w:rsidP="00AE1FD5">
      <w:pPr>
        <w:jc w:val="center"/>
        <w:rPr>
          <w:sz w:val="22"/>
        </w:rPr>
      </w:pPr>
      <w:r w:rsidRPr="007E605F">
        <w:rPr>
          <w:sz w:val="22"/>
        </w:rPr>
        <w:t>Convegno nazionale “</w:t>
      </w:r>
      <w:r w:rsidRPr="007E605F">
        <w:rPr>
          <w:i/>
          <w:sz w:val="22"/>
        </w:rPr>
        <w:t>Amarsi e sposarsi nei m</w:t>
      </w:r>
      <w:bookmarkStart w:id="0" w:name="_GoBack"/>
      <w:bookmarkEnd w:id="0"/>
      <w:r w:rsidRPr="007E605F">
        <w:rPr>
          <w:i/>
          <w:sz w:val="22"/>
        </w:rPr>
        <w:t>atrimoni</w:t>
      </w:r>
    </w:p>
    <w:p w:rsidR="00C1661E" w:rsidRPr="007E605F" w:rsidRDefault="00C1661E" w:rsidP="00AE1FD5">
      <w:pPr>
        <w:jc w:val="center"/>
        <w:rPr>
          <w:sz w:val="22"/>
        </w:rPr>
      </w:pPr>
      <w:r w:rsidRPr="007E605F">
        <w:rPr>
          <w:i/>
          <w:sz w:val="22"/>
        </w:rPr>
        <w:t>misti</w:t>
      </w:r>
      <w:r w:rsidR="009322B6" w:rsidRPr="007E605F">
        <w:rPr>
          <w:i/>
          <w:sz w:val="22"/>
        </w:rPr>
        <w:t>: attenzioni pastorali e canoniche</w:t>
      </w:r>
      <w:r w:rsidR="00AE1FD5">
        <w:rPr>
          <w:sz w:val="22"/>
        </w:rPr>
        <w:t>”</w:t>
      </w:r>
    </w:p>
    <w:p w:rsidR="007E605F" w:rsidRDefault="007E605F" w:rsidP="00A872D0">
      <w:pPr>
        <w:jc w:val="center"/>
        <w:rPr>
          <w:b/>
          <w:sz w:val="22"/>
        </w:rPr>
      </w:pPr>
    </w:p>
    <w:p w:rsidR="00A872D0" w:rsidRPr="006246B3" w:rsidRDefault="00A872D0" w:rsidP="00AE1FD5">
      <w:pPr>
        <w:jc w:val="center"/>
        <w:rPr>
          <w:b/>
          <w:sz w:val="28"/>
          <w:szCs w:val="28"/>
        </w:rPr>
      </w:pPr>
      <w:r w:rsidRPr="006246B3">
        <w:rPr>
          <w:b/>
          <w:sz w:val="28"/>
          <w:szCs w:val="28"/>
        </w:rPr>
        <w:t>Sposarsi tra confessioni e religioni diverse. Un’analisi sociologica</w:t>
      </w:r>
    </w:p>
    <w:p w:rsidR="00A872D0" w:rsidRPr="009322B6" w:rsidRDefault="00A872D0" w:rsidP="00AE1FD5">
      <w:pPr>
        <w:jc w:val="center"/>
        <w:rPr>
          <w:i/>
          <w:sz w:val="28"/>
          <w:szCs w:val="28"/>
        </w:rPr>
      </w:pPr>
      <w:r w:rsidRPr="009322B6">
        <w:rPr>
          <w:i/>
          <w:sz w:val="28"/>
          <w:szCs w:val="28"/>
        </w:rPr>
        <w:t xml:space="preserve">Carmelina Chiara Canta </w:t>
      </w:r>
      <w:r w:rsidRPr="009322B6">
        <w:rPr>
          <w:rStyle w:val="Rimandonotaapidipagina"/>
          <w:i/>
          <w:sz w:val="28"/>
          <w:szCs w:val="28"/>
        </w:rPr>
        <w:footnoteReference w:id="1"/>
      </w:r>
    </w:p>
    <w:p w:rsidR="00A872D0" w:rsidRPr="006246B3" w:rsidRDefault="00A872D0" w:rsidP="003A45F9">
      <w:pPr>
        <w:pStyle w:val="Titolo1"/>
        <w:numPr>
          <w:ilvl w:val="0"/>
          <w:numId w:val="22"/>
        </w:numPr>
      </w:pPr>
      <w:r w:rsidRPr="006246B3">
        <w:t xml:space="preserve">Premessa </w:t>
      </w:r>
    </w:p>
    <w:p w:rsidR="00156862" w:rsidRDefault="00156862" w:rsidP="003A45F9"/>
    <w:p w:rsidR="00156862" w:rsidRDefault="00156862" w:rsidP="003A45F9">
      <w:r>
        <w:t>L</w:t>
      </w:r>
      <w:r w:rsidR="00BF5E24">
        <w:t xml:space="preserve">e analisi </w:t>
      </w:r>
      <w:r w:rsidR="009322B6">
        <w:t>p</w:t>
      </w:r>
      <w:r>
        <w:t>ropost</w:t>
      </w:r>
      <w:r w:rsidR="00BF5E24">
        <w:t>e</w:t>
      </w:r>
      <w:r>
        <w:t xml:space="preserve"> in questa sede </w:t>
      </w:r>
      <w:r w:rsidR="009322B6">
        <w:t xml:space="preserve">si basano sui </w:t>
      </w:r>
      <w:r>
        <w:t>dati della ricerca promossa dall’ Ufficio Nazionale per l’Ecumenismo e il Dialogo Interreligioso della Conferenza Episcopale I</w:t>
      </w:r>
      <w:r w:rsidR="00BF5E24">
        <w:t xml:space="preserve">taliana. La scheda-questionario è stata </w:t>
      </w:r>
      <w:r w:rsidR="00BF5E24" w:rsidRPr="00AB4173">
        <w:t>inviat</w:t>
      </w:r>
      <w:r w:rsidR="00BF5E24">
        <w:t>a</w:t>
      </w:r>
      <w:r w:rsidR="00BF5E24" w:rsidRPr="00AB4173">
        <w:t xml:space="preserve"> a tutt</w:t>
      </w:r>
      <w:r w:rsidR="00BF5E24">
        <w:t>i i Vescovi dell</w:t>
      </w:r>
      <w:r w:rsidR="00BF5E24" w:rsidRPr="00AB4173">
        <w:t>e 22</w:t>
      </w:r>
      <w:r w:rsidR="00BF5E24">
        <w:t>3 diocesi italiane</w:t>
      </w:r>
      <w:r>
        <w:t xml:space="preserve"> insieme ad una lettera del Segretario Generale della CEI, Monsignor Mariano Crociata, il 15 settembre 2009, per raccogliere le informazioni relative al decennio 1999-2008. Questa rilevazione è seguita a quella già realizzata per gli anni 1995-1998. </w:t>
      </w:r>
    </w:p>
    <w:p w:rsidR="008B3B83" w:rsidRDefault="00BF5E24" w:rsidP="003A45F9">
      <w:r>
        <w:t xml:space="preserve">L’insieme dei </w:t>
      </w:r>
      <w:r w:rsidR="00831203">
        <w:t xml:space="preserve">dati ai quali si farà riferimento </w:t>
      </w:r>
      <w:r w:rsidR="004F0507">
        <w:t xml:space="preserve">sono </w:t>
      </w:r>
      <w:r w:rsidR="007E605F">
        <w:t xml:space="preserve">perciò </w:t>
      </w:r>
      <w:r w:rsidR="004F0507">
        <w:t xml:space="preserve">elaborati dalle fonti più sicure, </w:t>
      </w:r>
      <w:r w:rsidR="00541D9A" w:rsidRPr="00541D9A">
        <w:t>corrispond</w:t>
      </w:r>
      <w:r w:rsidR="001A6664">
        <w:t xml:space="preserve">endo </w:t>
      </w:r>
      <w:r w:rsidR="00541D9A" w:rsidRPr="00541D9A">
        <w:t>a</w:t>
      </w:r>
      <w:r w:rsidR="00541D9A">
        <w:t xml:space="preserve"> </w:t>
      </w:r>
      <w:r w:rsidR="00831203">
        <w:t xml:space="preserve">quelli </w:t>
      </w:r>
      <w:r w:rsidR="008B3B83">
        <w:t xml:space="preserve">forniti </w:t>
      </w:r>
      <w:r w:rsidR="00831203">
        <w:t>dalle diocesi italiane,</w:t>
      </w:r>
      <w:r w:rsidR="000F11E6">
        <w:t xml:space="preserve"> che conoscono la situazione dei matrimoni </w:t>
      </w:r>
      <w:r w:rsidR="001A6664">
        <w:t>“mist</w:t>
      </w:r>
      <w:r w:rsidR="000F11E6">
        <w:t>i</w:t>
      </w:r>
      <w:r w:rsidR="001A6664">
        <w:t xml:space="preserve">” </w:t>
      </w:r>
      <w:r w:rsidR="007E605F">
        <w:t xml:space="preserve">o “dispari” </w:t>
      </w:r>
      <w:r w:rsidR="00831203">
        <w:t>c</w:t>
      </w:r>
      <w:r w:rsidR="00A15741">
        <w:t>on rito religioso</w:t>
      </w:r>
      <w:r w:rsidR="00DC65F0">
        <w:t xml:space="preserve">. </w:t>
      </w:r>
      <w:r w:rsidR="004F0507">
        <w:t xml:space="preserve">Alle diocesi, infatti, </w:t>
      </w:r>
      <w:r w:rsidR="008B3B83">
        <w:t xml:space="preserve">si rivolgono </w:t>
      </w:r>
      <w:r w:rsidR="00A15741">
        <w:t xml:space="preserve">gli aspiranti sposi </w:t>
      </w:r>
      <w:r w:rsidR="008B3B83">
        <w:t>cattolici per</w:t>
      </w:r>
      <w:r w:rsidR="0049481F">
        <w:t xml:space="preserve"> chiedere la </w:t>
      </w:r>
      <w:r w:rsidR="007E605F">
        <w:t>“</w:t>
      </w:r>
      <w:r w:rsidR="0049481F">
        <w:t>dispensa</w:t>
      </w:r>
      <w:r w:rsidR="007E605F">
        <w:t>”</w:t>
      </w:r>
      <w:r w:rsidR="0049481F">
        <w:t xml:space="preserve"> </w:t>
      </w:r>
      <w:r w:rsidR="004F0507">
        <w:t xml:space="preserve">o la </w:t>
      </w:r>
      <w:r w:rsidR="007E605F">
        <w:t>“</w:t>
      </w:r>
      <w:r w:rsidR="004F0507">
        <w:t>licenza</w:t>
      </w:r>
      <w:r w:rsidR="007E605F">
        <w:t>”</w:t>
      </w:r>
      <w:r w:rsidR="004F0507">
        <w:t xml:space="preserve"> </w:t>
      </w:r>
      <w:r w:rsidR="0049481F">
        <w:t xml:space="preserve">di </w:t>
      </w:r>
      <w:r w:rsidR="00AF325F">
        <w:t xml:space="preserve">celebrare un </w:t>
      </w:r>
      <w:r w:rsidR="008B3B83">
        <w:t>matrimonio con un</w:t>
      </w:r>
      <w:r w:rsidR="00A15741">
        <w:t>/a</w:t>
      </w:r>
      <w:r w:rsidR="008B3B83">
        <w:t xml:space="preserve"> </w:t>
      </w:r>
      <w:r w:rsidR="007E605F">
        <w:t>sposa/o</w:t>
      </w:r>
      <w:r w:rsidR="008B3B83">
        <w:t xml:space="preserve"> di altra confessione</w:t>
      </w:r>
      <w:r w:rsidR="004F0507">
        <w:t>/religione</w:t>
      </w:r>
      <w:r w:rsidR="008B3B83">
        <w:t xml:space="preserve"> e sono perciò le uniche a conoscere la reale situazione. </w:t>
      </w:r>
    </w:p>
    <w:p w:rsidR="00BF5E24" w:rsidRDefault="00BF5E24" w:rsidP="00BF5E24">
      <w:r>
        <w:t xml:space="preserve">Da questo punto di vista l’analisi proposta è assolutamente originale e preziosa; i dati sono di “prima mano” </w:t>
      </w:r>
      <w:r w:rsidRPr="00C863D0">
        <w:t>(non sono elaborazioni secondarie di altre fonti)</w:t>
      </w:r>
      <w:r w:rsidRPr="00C863D0">
        <w:rPr>
          <w:rStyle w:val="Rimandonotaapidipagina"/>
          <w:sz w:val="28"/>
          <w:szCs w:val="28"/>
        </w:rPr>
        <w:footnoteReference w:id="2"/>
      </w:r>
      <w:r w:rsidRPr="006246B3">
        <w:t xml:space="preserve"> </w:t>
      </w:r>
      <w:r>
        <w:t xml:space="preserve">e può essere considerata significativa non solo come fenomeno interno alla </w:t>
      </w:r>
      <w:r w:rsidR="007E605F">
        <w:t>C</w:t>
      </w:r>
      <w:r>
        <w:t xml:space="preserve">hiesa </w:t>
      </w:r>
      <w:r w:rsidR="007E605F">
        <w:t>C</w:t>
      </w:r>
      <w:r>
        <w:t>attolica ma interessante anche per le altre chiese cristiane, le religioni non cristiane</w:t>
      </w:r>
      <w:r w:rsidR="00AF325F">
        <w:t xml:space="preserve"> e </w:t>
      </w:r>
      <w:r>
        <w:t xml:space="preserve">per altre categorie di appartenenze (atei, agnostici, abbandono della fede, ecc..). </w:t>
      </w:r>
    </w:p>
    <w:p w:rsidR="00BF5E24" w:rsidRDefault="00BF5E24" w:rsidP="00BF5E24">
      <w:r>
        <w:t xml:space="preserve">All’interno della Chiesa, essi si prestano ad una serie di riflessioni di tipo pastorale, sia direttamente, per le informazioni che ci hanno fornito le diocesi, sia indirettamente per ciò che implicitamente possiamo ricavarne e per quello che in futuro potranno fare gli operatori della pastorale. </w:t>
      </w:r>
    </w:p>
    <w:p w:rsidR="00BF5E24" w:rsidRDefault="00BF5E24" w:rsidP="00BF5E24"/>
    <w:p w:rsidR="00101C49" w:rsidRDefault="00A94279" w:rsidP="003A45F9">
      <w:pPr>
        <w:pStyle w:val="Titolo1"/>
        <w:numPr>
          <w:ilvl w:val="0"/>
          <w:numId w:val="22"/>
        </w:numPr>
      </w:pPr>
      <w:r w:rsidRPr="000654A8">
        <w:lastRenderedPageBreak/>
        <w:t xml:space="preserve">La ricerca nelle </w:t>
      </w:r>
      <w:r w:rsidR="00584083">
        <w:t xml:space="preserve">Regioni ecclesiastiche e nelle </w:t>
      </w:r>
      <w:r w:rsidRPr="000654A8">
        <w:t>diocesi italiane: aspetti metodologici</w:t>
      </w:r>
      <w:r w:rsidR="00AA245A" w:rsidRPr="000654A8">
        <w:t xml:space="preserve"> </w:t>
      </w:r>
      <w:r w:rsidR="00101C49" w:rsidRPr="000654A8">
        <w:t xml:space="preserve"> </w:t>
      </w:r>
    </w:p>
    <w:p w:rsidR="00BF5E24" w:rsidRDefault="005F6576" w:rsidP="003A45F9">
      <w:r>
        <w:t xml:space="preserve">L’universo coinvolto nell’indagine ha riguardato la totalità delle 223 diocesi italiane ma i dati che saranno analizzati sono relativi </w:t>
      </w:r>
      <w:r w:rsidR="000F11E6">
        <w:t xml:space="preserve">a quelle </w:t>
      </w:r>
      <w:r>
        <w:t>che hanno</w:t>
      </w:r>
      <w:r w:rsidR="00D23903">
        <w:t xml:space="preserve"> compilato e re</w:t>
      </w:r>
      <w:r w:rsidR="00BF5E24">
        <w:t xml:space="preserve">stituito </w:t>
      </w:r>
      <w:r w:rsidR="00D23903">
        <w:t>la scheda</w:t>
      </w:r>
      <w:r w:rsidR="00DC65F0">
        <w:t>- questionario</w:t>
      </w:r>
      <w:r>
        <w:t xml:space="preserve">. Le diocesi che hanno risposto </w:t>
      </w:r>
      <w:r w:rsidR="00D7570B">
        <w:t xml:space="preserve">in maniera completa </w:t>
      </w:r>
      <w:r>
        <w:t>al dicembre 2012 sono 83, circa un terzo delle diocesi italiane</w:t>
      </w:r>
      <w:r w:rsidR="00D23903">
        <w:t>.</w:t>
      </w:r>
      <w:r w:rsidR="00D23903">
        <w:rPr>
          <w:rStyle w:val="Rimandonotaapidipagina"/>
          <w:sz w:val="28"/>
          <w:szCs w:val="28"/>
        </w:rPr>
        <w:footnoteReference w:id="3"/>
      </w:r>
      <w:r>
        <w:t xml:space="preserve"> </w:t>
      </w:r>
    </w:p>
    <w:p w:rsidR="00BF5E24" w:rsidRDefault="005F6576" w:rsidP="003A45F9">
      <w:r w:rsidRPr="003A45F9">
        <w:t>Si tratta di una realtà certamente significativa</w:t>
      </w:r>
      <w:r w:rsidR="006B5B25">
        <w:t>,</w:t>
      </w:r>
      <w:r w:rsidRPr="003A45F9">
        <w:t xml:space="preserve"> composta da 83 diocesi, pari al 39% della popolazione italiana, distribuite in maniera abbastanza omogenea sul territorio italiano;  il 29% nel Nord-ovest, il 53% nel Nord-est, il 57% nel Centro, il 24% al Sud e il 34% nelle Isole. Hanno risposto </w:t>
      </w:r>
      <w:r w:rsidR="001B1774" w:rsidRPr="003A45F9">
        <w:t>in</w:t>
      </w:r>
      <w:r w:rsidR="001B1774">
        <w:t xml:space="preserve"> </w:t>
      </w:r>
      <w:r w:rsidR="001B1774" w:rsidRPr="003A45F9">
        <w:t xml:space="preserve">maniera più numerosa </w:t>
      </w:r>
      <w:r w:rsidRPr="003A45F9">
        <w:t>le diocesi del Nord</w:t>
      </w:r>
      <w:r w:rsidR="00AA245A" w:rsidRPr="003A45F9">
        <w:t xml:space="preserve"> e del Centro</w:t>
      </w:r>
      <w:r w:rsidR="00BF5E24">
        <w:t xml:space="preserve">. </w:t>
      </w:r>
    </w:p>
    <w:p w:rsidR="006A0E08" w:rsidRDefault="001543BA" w:rsidP="003A45F9">
      <w:pPr>
        <w:rPr>
          <w:lang w:eastAsia="it-IT"/>
        </w:rPr>
      </w:pPr>
      <w:r w:rsidRPr="00AA6B87">
        <w:t xml:space="preserve">L’insieme della popolazione delle 83 diocesi analizzate corrisponde a </w:t>
      </w:r>
      <w:r w:rsidRPr="00AA6B87">
        <w:rPr>
          <w:lang w:eastAsia="it-IT"/>
        </w:rPr>
        <w:t>23.</w:t>
      </w:r>
      <w:r>
        <w:rPr>
          <w:lang w:eastAsia="it-IT"/>
        </w:rPr>
        <w:t>131.466</w:t>
      </w:r>
      <w:r w:rsidR="00DC65F0">
        <w:rPr>
          <w:lang w:eastAsia="it-IT"/>
        </w:rPr>
        <w:t xml:space="preserve">, </w:t>
      </w:r>
      <w:r>
        <w:rPr>
          <w:lang w:eastAsia="it-IT"/>
        </w:rPr>
        <w:t>più di</w:t>
      </w:r>
      <w:r w:rsidRPr="00AA6B87">
        <w:rPr>
          <w:lang w:eastAsia="it-IT"/>
        </w:rPr>
        <w:t xml:space="preserve"> </w:t>
      </w:r>
      <w:r>
        <w:rPr>
          <w:lang w:eastAsia="it-IT"/>
        </w:rPr>
        <w:t xml:space="preserve"> </w:t>
      </w:r>
      <w:r w:rsidRPr="00AA6B87">
        <w:rPr>
          <w:lang w:eastAsia="it-IT"/>
        </w:rPr>
        <w:t xml:space="preserve">1/3 della popolazione </w:t>
      </w:r>
      <w:r>
        <w:rPr>
          <w:lang w:eastAsia="it-IT"/>
        </w:rPr>
        <w:t>residente in I</w:t>
      </w:r>
      <w:r w:rsidRPr="00AA6B87">
        <w:rPr>
          <w:lang w:eastAsia="it-IT"/>
        </w:rPr>
        <w:t>talia,</w:t>
      </w:r>
      <w:r>
        <w:rPr>
          <w:lang w:eastAsia="it-IT"/>
        </w:rPr>
        <w:t xml:space="preserve"> che è di </w:t>
      </w:r>
      <w:r w:rsidR="006A0E08">
        <w:rPr>
          <w:lang w:eastAsia="it-IT"/>
        </w:rPr>
        <w:t xml:space="preserve">58.864.257, valore ricavato dalla somma della popolazione delle diocesi e che è abbastanza vicina a  </w:t>
      </w:r>
      <w:r>
        <w:rPr>
          <w:lang w:eastAsia="it-IT"/>
        </w:rPr>
        <w:t xml:space="preserve">60.820.764 </w:t>
      </w:r>
      <w:r w:rsidR="00DC65F0">
        <w:rPr>
          <w:lang w:eastAsia="it-IT"/>
        </w:rPr>
        <w:t>che, secondo l’ISTAT, è il dato provvisorio della popolazione italiana</w:t>
      </w:r>
      <w:r>
        <w:rPr>
          <w:lang w:eastAsia="it-IT"/>
        </w:rPr>
        <w:t xml:space="preserve"> al 31 dicembre 2011</w:t>
      </w:r>
      <w:r w:rsidR="006A0E08">
        <w:rPr>
          <w:lang w:eastAsia="it-IT"/>
        </w:rPr>
        <w:t>.</w:t>
      </w:r>
    </w:p>
    <w:p w:rsidR="007E605F" w:rsidRDefault="007E605F" w:rsidP="003A45F9">
      <w:pPr>
        <w:rPr>
          <w:lang w:eastAsia="it-IT"/>
        </w:rPr>
      </w:pPr>
    </w:p>
    <w:p w:rsidR="001543BA" w:rsidRPr="00875554" w:rsidRDefault="0074562C" w:rsidP="003A45F9">
      <w:pPr>
        <w:rPr>
          <w:b/>
          <w:lang w:eastAsia="it-IT"/>
        </w:rPr>
      </w:pPr>
      <w:r w:rsidRPr="00875554">
        <w:rPr>
          <w:b/>
          <w:lang w:eastAsia="it-IT"/>
        </w:rPr>
        <w:t>Tab. n. 1. Ripartizione delle diocesi per zona geografica</w:t>
      </w:r>
    </w:p>
    <w:tbl>
      <w:tblPr>
        <w:tblW w:w="5000" w:type="pct"/>
        <w:tblCellMar>
          <w:left w:w="70" w:type="dxa"/>
          <w:right w:w="70" w:type="dxa"/>
        </w:tblCellMar>
        <w:tblLook w:val="04A0" w:firstRow="1" w:lastRow="0" w:firstColumn="1" w:lastColumn="0" w:noHBand="0" w:noVBand="1"/>
      </w:tblPr>
      <w:tblGrid>
        <w:gridCol w:w="1707"/>
        <w:gridCol w:w="1292"/>
        <w:gridCol w:w="948"/>
        <w:gridCol w:w="1157"/>
        <w:gridCol w:w="1406"/>
        <w:gridCol w:w="1981"/>
        <w:gridCol w:w="1287"/>
      </w:tblGrid>
      <w:tr w:rsidR="001543BA" w:rsidTr="008F1813">
        <w:trPr>
          <w:trHeight w:val="600"/>
        </w:trPr>
        <w:tc>
          <w:tcPr>
            <w:tcW w:w="879" w:type="pct"/>
            <w:tcBorders>
              <w:top w:val="single" w:sz="8" w:space="0" w:color="auto"/>
              <w:left w:val="single" w:sz="8" w:space="0" w:color="auto"/>
              <w:bottom w:val="single" w:sz="4" w:space="0" w:color="auto"/>
              <w:right w:val="single" w:sz="8" w:space="0" w:color="auto"/>
            </w:tcBorders>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Zona Geografica</w:t>
            </w:r>
          </w:p>
        </w:tc>
        <w:tc>
          <w:tcPr>
            <w:tcW w:w="624" w:type="pct"/>
            <w:tcBorders>
              <w:top w:val="single" w:sz="8" w:space="0" w:color="auto"/>
              <w:left w:val="nil"/>
              <w:bottom w:val="single" w:sz="4" w:space="0" w:color="auto"/>
              <w:right w:val="single" w:sz="4" w:space="0" w:color="auto"/>
            </w:tcBorders>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Diocesi intervistate</w:t>
            </w:r>
          </w:p>
        </w:tc>
        <w:tc>
          <w:tcPr>
            <w:tcW w:w="491" w:type="pct"/>
            <w:tcBorders>
              <w:top w:val="single" w:sz="8" w:space="0" w:color="auto"/>
              <w:left w:val="nil"/>
              <w:bottom w:val="single" w:sz="4" w:space="0" w:color="auto"/>
              <w:right w:val="single" w:sz="8" w:space="0" w:color="auto"/>
            </w:tcBorders>
            <w:vAlign w:val="center"/>
            <w:hideMark/>
          </w:tcPr>
          <w:p w:rsidR="001543BA" w:rsidRDefault="001543BA" w:rsidP="008F1813">
            <w:pPr>
              <w:spacing w:line="240" w:lineRule="auto"/>
              <w:jc w:val="center"/>
              <w:rPr>
                <w:rFonts w:eastAsia="Times New Roman"/>
                <w:b/>
                <w:bCs/>
                <w:color w:val="000000"/>
                <w:lang w:eastAsia="ja-JP"/>
              </w:rPr>
            </w:pPr>
            <w:proofErr w:type="spellStart"/>
            <w:r>
              <w:rPr>
                <w:rFonts w:eastAsia="Times New Roman"/>
                <w:b/>
                <w:bCs/>
                <w:color w:val="000000"/>
                <w:lang w:eastAsia="ja-JP"/>
              </w:rPr>
              <w:t>Num</w:t>
            </w:r>
            <w:proofErr w:type="spellEnd"/>
            <w:r>
              <w:rPr>
                <w:rFonts w:eastAsia="Times New Roman"/>
                <w:b/>
                <w:bCs/>
                <w:color w:val="000000"/>
                <w:lang w:eastAsia="ja-JP"/>
              </w:rPr>
              <w:t xml:space="preserve"> TOT Diocesi</w:t>
            </w:r>
          </w:p>
        </w:tc>
        <w:tc>
          <w:tcPr>
            <w:tcW w:w="2342" w:type="pct"/>
            <w:gridSpan w:val="3"/>
            <w:tcBorders>
              <w:top w:val="single" w:sz="8" w:space="0" w:color="auto"/>
              <w:left w:val="nil"/>
              <w:bottom w:val="single" w:sz="4" w:space="0" w:color="auto"/>
              <w:right w:val="single" w:sz="8" w:space="0" w:color="000000"/>
            </w:tcBorders>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Popolazione Intervistata</w:t>
            </w:r>
          </w:p>
        </w:tc>
        <w:tc>
          <w:tcPr>
            <w:tcW w:w="664" w:type="pct"/>
            <w:tcBorders>
              <w:top w:val="single" w:sz="8" w:space="0" w:color="auto"/>
              <w:left w:val="nil"/>
              <w:bottom w:val="single" w:sz="4" w:space="0" w:color="auto"/>
              <w:right w:val="single" w:sz="8" w:space="0" w:color="auto"/>
            </w:tcBorders>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Pop Totale</w:t>
            </w:r>
          </w:p>
        </w:tc>
      </w:tr>
      <w:tr w:rsidR="001543BA" w:rsidTr="008F1813">
        <w:trPr>
          <w:trHeight w:val="300"/>
        </w:trPr>
        <w:tc>
          <w:tcPr>
            <w:tcW w:w="879" w:type="pct"/>
            <w:tcBorders>
              <w:top w:val="nil"/>
              <w:left w:val="single" w:sz="8" w:space="0" w:color="auto"/>
              <w:bottom w:val="single" w:sz="4" w:space="0" w:color="auto"/>
              <w:right w:val="single" w:sz="8" w:space="0" w:color="auto"/>
            </w:tcBorders>
            <w:noWrap/>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 </w:t>
            </w:r>
          </w:p>
        </w:tc>
        <w:tc>
          <w:tcPr>
            <w:tcW w:w="624" w:type="pct"/>
            <w:tcBorders>
              <w:top w:val="nil"/>
              <w:left w:val="nil"/>
              <w:bottom w:val="single" w:sz="4" w:space="0" w:color="auto"/>
              <w:right w:val="single" w:sz="4" w:space="0" w:color="auto"/>
            </w:tcBorders>
            <w:noWrap/>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 </w:t>
            </w:r>
          </w:p>
        </w:tc>
        <w:tc>
          <w:tcPr>
            <w:tcW w:w="491" w:type="pct"/>
            <w:tcBorders>
              <w:top w:val="nil"/>
              <w:left w:val="nil"/>
              <w:bottom w:val="single" w:sz="4" w:space="0" w:color="auto"/>
              <w:right w:val="single" w:sz="8" w:space="0" w:color="auto"/>
            </w:tcBorders>
            <w:noWrap/>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 </w:t>
            </w:r>
          </w:p>
        </w:tc>
        <w:tc>
          <w:tcPr>
            <w:tcW w:w="598" w:type="pct"/>
            <w:tcBorders>
              <w:top w:val="nil"/>
              <w:left w:val="nil"/>
              <w:bottom w:val="single" w:sz="4" w:space="0" w:color="auto"/>
              <w:right w:val="single" w:sz="4" w:space="0" w:color="auto"/>
            </w:tcBorders>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V.A.</w:t>
            </w:r>
          </w:p>
        </w:tc>
        <w:tc>
          <w:tcPr>
            <w:tcW w:w="725" w:type="pct"/>
            <w:tcBorders>
              <w:top w:val="nil"/>
              <w:left w:val="nil"/>
              <w:bottom w:val="single" w:sz="4" w:space="0" w:color="auto"/>
              <w:right w:val="single" w:sz="4" w:space="0" w:color="auto"/>
            </w:tcBorders>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 sulla zona</w:t>
            </w:r>
          </w:p>
        </w:tc>
        <w:tc>
          <w:tcPr>
            <w:tcW w:w="1019" w:type="pct"/>
            <w:tcBorders>
              <w:top w:val="nil"/>
              <w:left w:val="nil"/>
              <w:bottom w:val="single" w:sz="4" w:space="0" w:color="auto"/>
              <w:right w:val="single" w:sz="8" w:space="0" w:color="auto"/>
            </w:tcBorders>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 su POP Italiana</w:t>
            </w:r>
          </w:p>
        </w:tc>
        <w:tc>
          <w:tcPr>
            <w:tcW w:w="664" w:type="pct"/>
            <w:tcBorders>
              <w:top w:val="nil"/>
              <w:left w:val="nil"/>
              <w:bottom w:val="single" w:sz="4" w:space="0" w:color="auto"/>
              <w:right w:val="single" w:sz="8" w:space="0" w:color="auto"/>
            </w:tcBorders>
            <w:noWrap/>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 </w:t>
            </w:r>
          </w:p>
        </w:tc>
      </w:tr>
      <w:tr w:rsidR="001543BA" w:rsidTr="00D24B99">
        <w:trPr>
          <w:trHeight w:val="300"/>
        </w:trPr>
        <w:tc>
          <w:tcPr>
            <w:tcW w:w="879" w:type="pct"/>
            <w:tcBorders>
              <w:top w:val="nil"/>
              <w:left w:val="single" w:sz="8" w:space="0" w:color="auto"/>
              <w:bottom w:val="single" w:sz="4" w:space="0" w:color="auto"/>
              <w:right w:val="single" w:sz="8" w:space="0" w:color="auto"/>
            </w:tcBorders>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CENTRO</w:t>
            </w:r>
          </w:p>
        </w:tc>
        <w:tc>
          <w:tcPr>
            <w:tcW w:w="624"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26</w:t>
            </w:r>
          </w:p>
        </w:tc>
        <w:tc>
          <w:tcPr>
            <w:tcW w:w="491"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69</w:t>
            </w:r>
          </w:p>
        </w:tc>
        <w:tc>
          <w:tcPr>
            <w:tcW w:w="598"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right"/>
              <w:rPr>
                <w:rFonts w:eastAsia="Times New Roman"/>
                <w:color w:val="000000"/>
                <w:lang w:eastAsia="ja-JP"/>
              </w:rPr>
            </w:pPr>
            <w:r>
              <w:rPr>
                <w:rFonts w:eastAsia="Times New Roman"/>
                <w:color w:val="000000"/>
                <w:lang w:eastAsia="ja-JP"/>
              </w:rPr>
              <w:t>7704849</w:t>
            </w:r>
          </w:p>
        </w:tc>
        <w:tc>
          <w:tcPr>
            <w:tcW w:w="725"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57.14%</w:t>
            </w:r>
          </w:p>
        </w:tc>
        <w:tc>
          <w:tcPr>
            <w:tcW w:w="1019"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13.09%</w:t>
            </w:r>
          </w:p>
        </w:tc>
        <w:tc>
          <w:tcPr>
            <w:tcW w:w="664"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13484332</w:t>
            </w:r>
          </w:p>
        </w:tc>
      </w:tr>
      <w:tr w:rsidR="001543BA" w:rsidTr="00D24B99">
        <w:trPr>
          <w:trHeight w:val="300"/>
        </w:trPr>
        <w:tc>
          <w:tcPr>
            <w:tcW w:w="879" w:type="pct"/>
            <w:tcBorders>
              <w:top w:val="nil"/>
              <w:left w:val="single" w:sz="8" w:space="0" w:color="auto"/>
              <w:bottom w:val="single" w:sz="4" w:space="0" w:color="auto"/>
              <w:right w:val="single" w:sz="8" w:space="0" w:color="auto"/>
            </w:tcBorders>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NORD EST</w:t>
            </w:r>
          </w:p>
        </w:tc>
        <w:tc>
          <w:tcPr>
            <w:tcW w:w="624"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16</w:t>
            </w:r>
          </w:p>
        </w:tc>
        <w:tc>
          <w:tcPr>
            <w:tcW w:w="491"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30</w:t>
            </w:r>
          </w:p>
        </w:tc>
        <w:tc>
          <w:tcPr>
            <w:tcW w:w="598"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right"/>
              <w:rPr>
                <w:rFonts w:eastAsia="Times New Roman"/>
                <w:color w:val="000000"/>
                <w:lang w:eastAsia="ja-JP"/>
              </w:rPr>
            </w:pPr>
            <w:r>
              <w:rPr>
                <w:rFonts w:eastAsia="Times New Roman"/>
                <w:color w:val="000000"/>
                <w:lang w:eastAsia="ja-JP"/>
              </w:rPr>
              <w:t>5898818</w:t>
            </w:r>
          </w:p>
        </w:tc>
        <w:tc>
          <w:tcPr>
            <w:tcW w:w="725"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53.11%</w:t>
            </w:r>
          </w:p>
        </w:tc>
        <w:tc>
          <w:tcPr>
            <w:tcW w:w="1019"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10.02%</w:t>
            </w:r>
          </w:p>
        </w:tc>
        <w:tc>
          <w:tcPr>
            <w:tcW w:w="664"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11105826</w:t>
            </w:r>
          </w:p>
        </w:tc>
      </w:tr>
      <w:tr w:rsidR="001543BA" w:rsidTr="00D24B99">
        <w:trPr>
          <w:trHeight w:val="300"/>
        </w:trPr>
        <w:tc>
          <w:tcPr>
            <w:tcW w:w="879" w:type="pct"/>
            <w:tcBorders>
              <w:top w:val="nil"/>
              <w:left w:val="single" w:sz="8" w:space="0" w:color="auto"/>
              <w:bottom w:val="single" w:sz="4" w:space="0" w:color="auto"/>
              <w:right w:val="single" w:sz="8" w:space="0" w:color="auto"/>
            </w:tcBorders>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ISOLE</w:t>
            </w:r>
          </w:p>
        </w:tc>
        <w:tc>
          <w:tcPr>
            <w:tcW w:w="624"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11</w:t>
            </w:r>
          </w:p>
        </w:tc>
        <w:tc>
          <w:tcPr>
            <w:tcW w:w="491"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28</w:t>
            </w:r>
          </w:p>
        </w:tc>
        <w:tc>
          <w:tcPr>
            <w:tcW w:w="598"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right"/>
              <w:rPr>
                <w:rFonts w:eastAsia="Times New Roman"/>
                <w:color w:val="000000"/>
                <w:lang w:eastAsia="ja-JP"/>
              </w:rPr>
            </w:pPr>
            <w:r>
              <w:rPr>
                <w:rFonts w:eastAsia="Times New Roman"/>
                <w:color w:val="000000"/>
                <w:lang w:eastAsia="ja-JP"/>
              </w:rPr>
              <w:t>2335613</w:t>
            </w:r>
          </w:p>
        </w:tc>
        <w:tc>
          <w:tcPr>
            <w:tcW w:w="725"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33.59%</w:t>
            </w:r>
          </w:p>
        </w:tc>
        <w:tc>
          <w:tcPr>
            <w:tcW w:w="1019"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3.97%</w:t>
            </w:r>
          </w:p>
        </w:tc>
        <w:tc>
          <w:tcPr>
            <w:tcW w:w="664"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6954108</w:t>
            </w:r>
          </w:p>
        </w:tc>
      </w:tr>
      <w:tr w:rsidR="001543BA" w:rsidTr="00D24B99">
        <w:trPr>
          <w:trHeight w:val="300"/>
        </w:trPr>
        <w:tc>
          <w:tcPr>
            <w:tcW w:w="879" w:type="pct"/>
            <w:tcBorders>
              <w:top w:val="nil"/>
              <w:left w:val="single" w:sz="8" w:space="0" w:color="auto"/>
              <w:bottom w:val="single" w:sz="4" w:space="0" w:color="auto"/>
              <w:right w:val="single" w:sz="8" w:space="0" w:color="auto"/>
            </w:tcBorders>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NORD OVEST</w:t>
            </w:r>
          </w:p>
        </w:tc>
        <w:tc>
          <w:tcPr>
            <w:tcW w:w="624"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14</w:t>
            </w:r>
          </w:p>
        </w:tc>
        <w:tc>
          <w:tcPr>
            <w:tcW w:w="491"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34</w:t>
            </w:r>
          </w:p>
        </w:tc>
        <w:tc>
          <w:tcPr>
            <w:tcW w:w="598"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right"/>
              <w:rPr>
                <w:rFonts w:eastAsia="Times New Roman"/>
                <w:color w:val="000000"/>
                <w:lang w:eastAsia="ja-JP"/>
              </w:rPr>
            </w:pPr>
            <w:r>
              <w:rPr>
                <w:rFonts w:eastAsia="Times New Roman"/>
                <w:color w:val="000000"/>
                <w:lang w:eastAsia="ja-JP"/>
              </w:rPr>
              <w:t>4146427</w:t>
            </w:r>
          </w:p>
        </w:tc>
        <w:tc>
          <w:tcPr>
            <w:tcW w:w="725"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28.77%</w:t>
            </w:r>
          </w:p>
        </w:tc>
        <w:tc>
          <w:tcPr>
            <w:tcW w:w="1019"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7.04%</w:t>
            </w:r>
          </w:p>
        </w:tc>
        <w:tc>
          <w:tcPr>
            <w:tcW w:w="664"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14410858</w:t>
            </w:r>
          </w:p>
        </w:tc>
      </w:tr>
      <w:tr w:rsidR="001543BA" w:rsidTr="00D24B99">
        <w:trPr>
          <w:trHeight w:val="300"/>
        </w:trPr>
        <w:tc>
          <w:tcPr>
            <w:tcW w:w="879" w:type="pct"/>
            <w:tcBorders>
              <w:top w:val="nil"/>
              <w:left w:val="single" w:sz="8" w:space="0" w:color="auto"/>
              <w:bottom w:val="single" w:sz="4" w:space="0" w:color="auto"/>
              <w:right w:val="single" w:sz="8" w:space="0" w:color="auto"/>
            </w:tcBorders>
            <w:shd w:val="clear" w:color="auto" w:fill="auto"/>
            <w:vAlign w:val="center"/>
            <w:hideMark/>
          </w:tcPr>
          <w:p w:rsidR="001543BA" w:rsidRDefault="001543BA" w:rsidP="008F1813">
            <w:pPr>
              <w:spacing w:line="240" w:lineRule="auto"/>
              <w:rPr>
                <w:rFonts w:eastAsia="Times New Roman"/>
                <w:color w:val="000000"/>
                <w:lang w:eastAsia="ja-JP"/>
              </w:rPr>
            </w:pPr>
            <w:r>
              <w:rPr>
                <w:rFonts w:eastAsia="Times New Roman"/>
                <w:color w:val="000000"/>
                <w:lang w:eastAsia="ja-JP"/>
              </w:rPr>
              <w:t>SUD</w:t>
            </w:r>
          </w:p>
        </w:tc>
        <w:tc>
          <w:tcPr>
            <w:tcW w:w="624"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16</w:t>
            </w:r>
          </w:p>
        </w:tc>
        <w:tc>
          <w:tcPr>
            <w:tcW w:w="491"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62</w:t>
            </w:r>
          </w:p>
        </w:tc>
        <w:tc>
          <w:tcPr>
            <w:tcW w:w="598"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right"/>
              <w:rPr>
                <w:rFonts w:eastAsia="Times New Roman"/>
                <w:color w:val="000000"/>
                <w:lang w:eastAsia="ja-JP"/>
              </w:rPr>
            </w:pPr>
            <w:r>
              <w:rPr>
                <w:rFonts w:eastAsia="Times New Roman"/>
                <w:color w:val="000000"/>
                <w:lang w:eastAsia="ja-JP"/>
              </w:rPr>
              <w:t>3045759</w:t>
            </w:r>
          </w:p>
        </w:tc>
        <w:tc>
          <w:tcPr>
            <w:tcW w:w="725" w:type="pct"/>
            <w:tcBorders>
              <w:top w:val="nil"/>
              <w:left w:val="nil"/>
              <w:bottom w:val="single" w:sz="4"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23.59%</w:t>
            </w:r>
          </w:p>
        </w:tc>
        <w:tc>
          <w:tcPr>
            <w:tcW w:w="1019"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5.17%</w:t>
            </w:r>
          </w:p>
        </w:tc>
        <w:tc>
          <w:tcPr>
            <w:tcW w:w="664" w:type="pct"/>
            <w:tcBorders>
              <w:top w:val="nil"/>
              <w:left w:val="nil"/>
              <w:bottom w:val="single" w:sz="4"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color w:val="000000"/>
                <w:lang w:eastAsia="ja-JP"/>
              </w:rPr>
            </w:pPr>
            <w:r>
              <w:rPr>
                <w:rFonts w:eastAsia="Times New Roman"/>
                <w:color w:val="000000"/>
                <w:lang w:eastAsia="ja-JP"/>
              </w:rPr>
              <w:t>12909133</w:t>
            </w:r>
          </w:p>
        </w:tc>
      </w:tr>
      <w:tr w:rsidR="001543BA" w:rsidTr="00D24B99">
        <w:trPr>
          <w:trHeight w:val="315"/>
        </w:trPr>
        <w:tc>
          <w:tcPr>
            <w:tcW w:w="879" w:type="pct"/>
            <w:tcBorders>
              <w:top w:val="nil"/>
              <w:left w:val="single" w:sz="8" w:space="0" w:color="auto"/>
              <w:bottom w:val="single" w:sz="8" w:space="0" w:color="auto"/>
              <w:right w:val="single" w:sz="8" w:space="0" w:color="auto"/>
            </w:tcBorders>
            <w:shd w:val="clear" w:color="auto" w:fill="auto"/>
            <w:noWrap/>
            <w:vAlign w:val="center"/>
            <w:hideMark/>
          </w:tcPr>
          <w:p w:rsidR="001543BA" w:rsidRDefault="001543BA" w:rsidP="008F1813">
            <w:pPr>
              <w:spacing w:line="240" w:lineRule="auto"/>
              <w:rPr>
                <w:rFonts w:eastAsia="Times New Roman"/>
                <w:b/>
                <w:bCs/>
                <w:color w:val="000000"/>
                <w:lang w:eastAsia="ja-JP"/>
              </w:rPr>
            </w:pPr>
            <w:r>
              <w:rPr>
                <w:rFonts w:eastAsia="Times New Roman"/>
                <w:b/>
                <w:bCs/>
                <w:color w:val="000000"/>
                <w:lang w:eastAsia="ja-JP"/>
              </w:rPr>
              <w:t>TOT</w:t>
            </w:r>
          </w:p>
        </w:tc>
        <w:tc>
          <w:tcPr>
            <w:tcW w:w="624" w:type="pct"/>
            <w:tcBorders>
              <w:top w:val="nil"/>
              <w:left w:val="nil"/>
              <w:bottom w:val="single" w:sz="8"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83</w:t>
            </w:r>
          </w:p>
        </w:tc>
        <w:tc>
          <w:tcPr>
            <w:tcW w:w="491" w:type="pct"/>
            <w:tcBorders>
              <w:top w:val="nil"/>
              <w:left w:val="nil"/>
              <w:bottom w:val="single" w:sz="8"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223</w:t>
            </w:r>
          </w:p>
        </w:tc>
        <w:tc>
          <w:tcPr>
            <w:tcW w:w="598" w:type="pct"/>
            <w:tcBorders>
              <w:top w:val="nil"/>
              <w:left w:val="nil"/>
              <w:bottom w:val="single" w:sz="8"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23131466</w:t>
            </w:r>
          </w:p>
        </w:tc>
        <w:tc>
          <w:tcPr>
            <w:tcW w:w="725" w:type="pct"/>
            <w:tcBorders>
              <w:top w:val="nil"/>
              <w:left w:val="nil"/>
              <w:bottom w:val="single" w:sz="8" w:space="0" w:color="auto"/>
              <w:right w:val="single" w:sz="4"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n.a.</w:t>
            </w:r>
          </w:p>
        </w:tc>
        <w:tc>
          <w:tcPr>
            <w:tcW w:w="1019" w:type="pct"/>
            <w:tcBorders>
              <w:top w:val="nil"/>
              <w:left w:val="nil"/>
              <w:bottom w:val="single" w:sz="8"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39.30%</w:t>
            </w:r>
          </w:p>
        </w:tc>
        <w:tc>
          <w:tcPr>
            <w:tcW w:w="664" w:type="pct"/>
            <w:tcBorders>
              <w:top w:val="nil"/>
              <w:left w:val="nil"/>
              <w:bottom w:val="single" w:sz="8" w:space="0" w:color="auto"/>
              <w:right w:val="single" w:sz="8" w:space="0" w:color="auto"/>
            </w:tcBorders>
            <w:shd w:val="clear" w:color="auto" w:fill="auto"/>
            <w:noWrap/>
            <w:vAlign w:val="center"/>
            <w:hideMark/>
          </w:tcPr>
          <w:p w:rsidR="001543BA" w:rsidRDefault="001543BA" w:rsidP="008F1813">
            <w:pPr>
              <w:spacing w:line="240" w:lineRule="auto"/>
              <w:jc w:val="center"/>
              <w:rPr>
                <w:rFonts w:eastAsia="Times New Roman"/>
                <w:b/>
                <w:bCs/>
                <w:color w:val="000000"/>
                <w:lang w:eastAsia="ja-JP"/>
              </w:rPr>
            </w:pPr>
            <w:r>
              <w:rPr>
                <w:rFonts w:eastAsia="Times New Roman"/>
                <w:b/>
                <w:bCs/>
                <w:color w:val="000000"/>
                <w:lang w:eastAsia="ja-JP"/>
              </w:rPr>
              <w:t>58864257</w:t>
            </w:r>
          </w:p>
        </w:tc>
      </w:tr>
    </w:tbl>
    <w:p w:rsidR="00252E78" w:rsidRDefault="00252E78" w:rsidP="00252E78">
      <w:pPr>
        <w:pStyle w:val="Titolo1"/>
        <w:ind w:left="720"/>
      </w:pPr>
    </w:p>
    <w:p w:rsidR="00724B63" w:rsidRPr="003A45F9" w:rsidRDefault="00724B63" w:rsidP="003A45F9">
      <w:pPr>
        <w:pStyle w:val="Titolo1"/>
        <w:numPr>
          <w:ilvl w:val="0"/>
          <w:numId w:val="22"/>
        </w:numPr>
      </w:pPr>
      <w:r w:rsidRPr="003A45F9">
        <w:t>Regioni ecclesiastiche e diocesi: dati complessivi</w:t>
      </w:r>
    </w:p>
    <w:p w:rsidR="00055F28" w:rsidRDefault="00101C49" w:rsidP="003A45F9">
      <w:r>
        <w:t>A livello di regioni ecclesia</w:t>
      </w:r>
      <w:r w:rsidR="005F6576">
        <w:t xml:space="preserve">stiche </w:t>
      </w:r>
      <w:r>
        <w:t>sono rappresentate un buon numero di diocesi,</w:t>
      </w:r>
      <w:r w:rsidR="005F6576">
        <w:t xml:space="preserve"> sebbene </w:t>
      </w:r>
      <w:r w:rsidR="005F6576" w:rsidRPr="001543BA">
        <w:t xml:space="preserve">la distribuzione non sia omogenea; le diocesi più </w:t>
      </w:r>
      <w:r w:rsidR="001B492B">
        <w:t xml:space="preserve">rappresentate </w:t>
      </w:r>
      <w:r w:rsidR="005F6576" w:rsidRPr="001543BA">
        <w:t xml:space="preserve">sono state quelle delle regioni: Sicilia </w:t>
      </w:r>
      <w:r w:rsidR="005F6576" w:rsidRPr="001543BA">
        <w:lastRenderedPageBreak/>
        <w:t>(11%), Emilia Romagna (11%), Lazio (</w:t>
      </w:r>
      <w:r w:rsidR="00A94279">
        <w:t>10</w:t>
      </w:r>
      <w:r w:rsidR="005F6576" w:rsidRPr="001543BA">
        <w:t xml:space="preserve">%), Marche (8%), Triveneto (8%), Toscana (8%), Lombardia (7%) e Puglia (7%). </w:t>
      </w:r>
    </w:p>
    <w:p w:rsidR="005F6576" w:rsidRDefault="00055F28" w:rsidP="003A45F9">
      <w:r>
        <w:t xml:space="preserve"> </w:t>
      </w:r>
    </w:p>
    <w:p w:rsidR="00101C49" w:rsidRPr="00875554" w:rsidRDefault="0074562C" w:rsidP="003A45F9">
      <w:pPr>
        <w:rPr>
          <w:b/>
        </w:rPr>
      </w:pPr>
      <w:r w:rsidRPr="00875554">
        <w:rPr>
          <w:b/>
        </w:rPr>
        <w:t xml:space="preserve">Tab. n. 2. Ripartizione delle diocesi per Regioni </w:t>
      </w:r>
      <w:proofErr w:type="spellStart"/>
      <w:r w:rsidRPr="00875554">
        <w:rPr>
          <w:b/>
        </w:rPr>
        <w:t>Ecclesiatiche</w:t>
      </w:r>
      <w:proofErr w:type="spellEnd"/>
      <w:r w:rsidR="00322F01" w:rsidRPr="00875554">
        <w:rPr>
          <w:b/>
        </w:rPr>
        <w:t xml:space="preserve"> </w:t>
      </w:r>
    </w:p>
    <w:tbl>
      <w:tblPr>
        <w:tblW w:w="5000" w:type="pct"/>
        <w:tblCellMar>
          <w:left w:w="70" w:type="dxa"/>
          <w:right w:w="70" w:type="dxa"/>
        </w:tblCellMar>
        <w:tblLook w:val="04A0" w:firstRow="1" w:lastRow="0" w:firstColumn="1" w:lastColumn="0" w:noHBand="0" w:noVBand="1"/>
      </w:tblPr>
      <w:tblGrid>
        <w:gridCol w:w="1623"/>
        <w:gridCol w:w="1292"/>
        <w:gridCol w:w="856"/>
        <w:gridCol w:w="1114"/>
        <w:gridCol w:w="1609"/>
        <w:gridCol w:w="1824"/>
        <w:gridCol w:w="1460"/>
      </w:tblGrid>
      <w:tr w:rsidR="00D24B99" w:rsidRPr="00D24B99" w:rsidTr="00D24B99">
        <w:trPr>
          <w:trHeight w:val="600"/>
        </w:trPr>
        <w:tc>
          <w:tcPr>
            <w:tcW w:w="882"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Regione Ecclesiastica</w:t>
            </w:r>
          </w:p>
        </w:tc>
        <w:tc>
          <w:tcPr>
            <w:tcW w:w="609" w:type="pct"/>
            <w:tcBorders>
              <w:top w:val="single" w:sz="8" w:space="0" w:color="auto"/>
              <w:left w:val="nil"/>
              <w:bottom w:val="single" w:sz="4" w:space="0" w:color="auto"/>
              <w:right w:val="single" w:sz="4" w:space="0" w:color="auto"/>
            </w:tcBorders>
            <w:shd w:val="clear" w:color="auto" w:fill="auto"/>
            <w:vAlign w:val="center"/>
            <w:hideMark/>
          </w:tcPr>
          <w:p w:rsidR="00D24B99" w:rsidRPr="00D24B99" w:rsidRDefault="00D24B99" w:rsidP="00D24B99">
            <w:pPr>
              <w:spacing w:line="240" w:lineRule="auto"/>
              <w:jc w:val="center"/>
              <w:rPr>
                <w:rFonts w:eastAsia="Times New Roman"/>
                <w:b/>
                <w:bCs/>
                <w:color w:val="000000"/>
                <w:lang w:eastAsia="ja-JP"/>
              </w:rPr>
            </w:pPr>
            <w:r>
              <w:rPr>
                <w:rFonts w:eastAsia="Times New Roman"/>
                <w:b/>
                <w:bCs/>
                <w:color w:val="000000"/>
                <w:lang w:eastAsia="ja-JP"/>
              </w:rPr>
              <w:t>Diocesi</w:t>
            </w:r>
            <w:r w:rsidRPr="00D24B99">
              <w:rPr>
                <w:rFonts w:eastAsia="Times New Roman"/>
                <w:b/>
                <w:bCs/>
                <w:color w:val="000000"/>
                <w:lang w:eastAsia="ja-JP"/>
              </w:rPr>
              <w:t xml:space="preserve"> intervistate</w:t>
            </w:r>
          </w:p>
        </w:tc>
        <w:tc>
          <w:tcPr>
            <w:tcW w:w="487" w:type="pct"/>
            <w:tcBorders>
              <w:top w:val="single" w:sz="8" w:space="0" w:color="auto"/>
              <w:left w:val="nil"/>
              <w:bottom w:val="single" w:sz="4" w:space="0" w:color="auto"/>
              <w:right w:val="single" w:sz="8" w:space="0" w:color="auto"/>
            </w:tcBorders>
            <w:shd w:val="clear" w:color="auto" w:fill="auto"/>
            <w:vAlign w:val="center"/>
            <w:hideMark/>
          </w:tcPr>
          <w:p w:rsidR="00D24B99" w:rsidRPr="00D24B99" w:rsidRDefault="00D24B99" w:rsidP="00D24B99">
            <w:pPr>
              <w:spacing w:line="240" w:lineRule="auto"/>
              <w:jc w:val="center"/>
              <w:rPr>
                <w:rFonts w:eastAsia="Times New Roman"/>
                <w:b/>
                <w:bCs/>
                <w:color w:val="000000"/>
                <w:lang w:eastAsia="ja-JP"/>
              </w:rPr>
            </w:pPr>
            <w:proofErr w:type="spellStart"/>
            <w:r w:rsidRPr="00D24B99">
              <w:rPr>
                <w:rFonts w:eastAsia="Times New Roman"/>
                <w:b/>
                <w:bCs/>
                <w:color w:val="000000"/>
                <w:lang w:eastAsia="ja-JP"/>
              </w:rPr>
              <w:t>Num</w:t>
            </w:r>
            <w:proofErr w:type="spellEnd"/>
            <w:r w:rsidRPr="00D24B99">
              <w:rPr>
                <w:rFonts w:eastAsia="Times New Roman"/>
                <w:b/>
                <w:bCs/>
                <w:color w:val="000000"/>
                <w:lang w:eastAsia="ja-JP"/>
              </w:rPr>
              <w:t xml:space="preserve"> TOT Diocesi</w:t>
            </w:r>
          </w:p>
        </w:tc>
        <w:tc>
          <w:tcPr>
            <w:tcW w:w="2221" w:type="pct"/>
            <w:gridSpan w:val="3"/>
            <w:tcBorders>
              <w:top w:val="single" w:sz="8" w:space="0" w:color="auto"/>
              <w:left w:val="nil"/>
              <w:bottom w:val="single" w:sz="4" w:space="0" w:color="auto"/>
              <w:right w:val="single" w:sz="8" w:space="0" w:color="000000"/>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Popolazione Intervistata</w:t>
            </w:r>
          </w:p>
        </w:tc>
        <w:tc>
          <w:tcPr>
            <w:tcW w:w="801" w:type="pct"/>
            <w:tcBorders>
              <w:top w:val="single" w:sz="8" w:space="0" w:color="auto"/>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Pop Totale</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 </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 </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 </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V.A.</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 sulla regione</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 su POP Italiana</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 </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ABRUZZO MOLISE</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11</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278513</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17.97%</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0.47%</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1549709</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BASILICATA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188627</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31.98%</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0.32%</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589767</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CALABRIA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12</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393752</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18.86%</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0.67%</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2087533</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CAMPANIA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25</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975622</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16.21%</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1.66%</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6018803</w:t>
            </w:r>
          </w:p>
        </w:tc>
      </w:tr>
      <w:tr w:rsidR="00D24B99" w:rsidRPr="00D24B99" w:rsidTr="00D24B99">
        <w:trPr>
          <w:trHeight w:val="6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EMILIA ROMAGNA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9</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15</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2746987</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65.35%</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4.67%</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4203437</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LAZIO</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8</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19</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4553959</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78.61%</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7.74%</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5792914</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LIGURIA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1114373</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57.28%</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1.89%</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1945368</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LOMBARDIA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10</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2301371</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29.14%</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3.91%</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7896623</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MARCHE</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13</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1046351</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67.68%</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1.78%</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1546007</w:t>
            </w:r>
          </w:p>
        </w:tc>
      </w:tr>
      <w:tr w:rsidR="00D24B99" w:rsidRPr="00D24B99" w:rsidTr="00D24B99">
        <w:trPr>
          <w:trHeight w:val="6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PIEMONTE - VAL D'AOSTA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17</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730683</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15.99%</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1.24%</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4568867</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PUGLIA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19</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1487758</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35.31%</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2.53%</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4213030</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SARDEGNA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10</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722763</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42.77%</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1.23%</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1690080</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SICILIA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9</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18</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1612850</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30.64%</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2.74%</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5264028</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TOSCANA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18</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1677026</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45.50%</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2.85%</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3685574</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TRIVENETO</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7</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15</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3151831</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45.66%</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5.35%</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6902389</w:t>
            </w:r>
          </w:p>
        </w:tc>
      </w:tr>
      <w:tr w:rsidR="00D24B99" w:rsidRPr="00D24B99" w:rsidTr="00D24B99">
        <w:trPr>
          <w:trHeight w:val="300"/>
        </w:trPr>
        <w:tc>
          <w:tcPr>
            <w:tcW w:w="882" w:type="pct"/>
            <w:tcBorders>
              <w:top w:val="nil"/>
              <w:left w:val="single" w:sz="8" w:space="0" w:color="auto"/>
              <w:bottom w:val="single" w:sz="4" w:space="0" w:color="auto"/>
              <w:right w:val="single" w:sz="8" w:space="0" w:color="auto"/>
            </w:tcBorders>
            <w:shd w:val="clear" w:color="auto" w:fill="auto"/>
            <w:vAlign w:val="center"/>
            <w:hideMark/>
          </w:tcPr>
          <w:p w:rsidR="00D24B99" w:rsidRPr="00D24B99" w:rsidRDefault="00D24B99" w:rsidP="00D24B99">
            <w:pPr>
              <w:spacing w:line="240" w:lineRule="auto"/>
              <w:rPr>
                <w:rFonts w:eastAsia="Times New Roman"/>
                <w:color w:val="000000"/>
                <w:lang w:eastAsia="ja-JP"/>
              </w:rPr>
            </w:pPr>
            <w:r w:rsidRPr="00D24B99">
              <w:rPr>
                <w:rFonts w:eastAsia="Times New Roman"/>
                <w:color w:val="000000"/>
                <w:lang w:eastAsia="ja-JP"/>
              </w:rPr>
              <w:t>UMBRIA</w:t>
            </w:r>
          </w:p>
        </w:tc>
        <w:tc>
          <w:tcPr>
            <w:tcW w:w="60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2</w:t>
            </w:r>
          </w:p>
        </w:tc>
        <w:tc>
          <w:tcPr>
            <w:tcW w:w="487"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8</w:t>
            </w:r>
          </w:p>
        </w:tc>
        <w:tc>
          <w:tcPr>
            <w:tcW w:w="529"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right"/>
              <w:rPr>
                <w:rFonts w:eastAsia="Times New Roman"/>
                <w:color w:val="000000"/>
                <w:lang w:eastAsia="ja-JP"/>
              </w:rPr>
            </w:pPr>
            <w:r w:rsidRPr="00D24B99">
              <w:rPr>
                <w:rFonts w:eastAsia="Times New Roman"/>
                <w:color w:val="000000"/>
                <w:lang w:eastAsia="ja-JP"/>
              </w:rPr>
              <w:t>149000</w:t>
            </w:r>
          </w:p>
        </w:tc>
        <w:tc>
          <w:tcPr>
            <w:tcW w:w="790" w:type="pct"/>
            <w:tcBorders>
              <w:top w:val="nil"/>
              <w:left w:val="nil"/>
              <w:bottom w:val="single" w:sz="4"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16.37%</w:t>
            </w:r>
          </w:p>
        </w:tc>
        <w:tc>
          <w:tcPr>
            <w:tcW w:w="902"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0.25%</w:t>
            </w:r>
          </w:p>
        </w:tc>
        <w:tc>
          <w:tcPr>
            <w:tcW w:w="801" w:type="pct"/>
            <w:tcBorders>
              <w:top w:val="nil"/>
              <w:left w:val="nil"/>
              <w:bottom w:val="single" w:sz="4"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color w:val="000000"/>
                <w:lang w:eastAsia="ja-JP"/>
              </w:rPr>
            </w:pPr>
            <w:r w:rsidRPr="00D24B99">
              <w:rPr>
                <w:rFonts w:eastAsia="Times New Roman"/>
                <w:color w:val="000000"/>
                <w:lang w:eastAsia="ja-JP"/>
              </w:rPr>
              <w:t>910128</w:t>
            </w:r>
          </w:p>
        </w:tc>
      </w:tr>
      <w:tr w:rsidR="00D24B99" w:rsidRPr="00D24B99" w:rsidTr="00D24B99">
        <w:trPr>
          <w:trHeight w:val="315"/>
        </w:trPr>
        <w:tc>
          <w:tcPr>
            <w:tcW w:w="882" w:type="pct"/>
            <w:tcBorders>
              <w:top w:val="nil"/>
              <w:left w:val="single" w:sz="8" w:space="0" w:color="auto"/>
              <w:bottom w:val="single" w:sz="8" w:space="0" w:color="auto"/>
              <w:right w:val="single" w:sz="8" w:space="0" w:color="auto"/>
            </w:tcBorders>
            <w:shd w:val="clear" w:color="auto" w:fill="auto"/>
            <w:noWrap/>
            <w:vAlign w:val="center"/>
            <w:hideMark/>
          </w:tcPr>
          <w:p w:rsidR="00D24B99" w:rsidRPr="00D24B99" w:rsidRDefault="00D24B99" w:rsidP="00D24B99">
            <w:pPr>
              <w:spacing w:line="240" w:lineRule="auto"/>
              <w:rPr>
                <w:rFonts w:eastAsia="Times New Roman"/>
                <w:b/>
                <w:bCs/>
                <w:color w:val="000000"/>
                <w:lang w:eastAsia="ja-JP"/>
              </w:rPr>
            </w:pPr>
            <w:r w:rsidRPr="00D24B99">
              <w:rPr>
                <w:rFonts w:eastAsia="Times New Roman"/>
                <w:b/>
                <w:bCs/>
                <w:color w:val="000000"/>
                <w:lang w:eastAsia="ja-JP"/>
              </w:rPr>
              <w:t>TOT</w:t>
            </w:r>
          </w:p>
        </w:tc>
        <w:tc>
          <w:tcPr>
            <w:tcW w:w="609" w:type="pct"/>
            <w:tcBorders>
              <w:top w:val="nil"/>
              <w:left w:val="nil"/>
              <w:bottom w:val="single" w:sz="8"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83</w:t>
            </w:r>
          </w:p>
        </w:tc>
        <w:tc>
          <w:tcPr>
            <w:tcW w:w="487" w:type="pct"/>
            <w:tcBorders>
              <w:top w:val="nil"/>
              <w:left w:val="nil"/>
              <w:bottom w:val="single" w:sz="8"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223</w:t>
            </w:r>
          </w:p>
        </w:tc>
        <w:tc>
          <w:tcPr>
            <w:tcW w:w="529" w:type="pct"/>
            <w:tcBorders>
              <w:top w:val="nil"/>
              <w:left w:val="nil"/>
              <w:bottom w:val="single" w:sz="8"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23131466</w:t>
            </w:r>
          </w:p>
        </w:tc>
        <w:tc>
          <w:tcPr>
            <w:tcW w:w="790" w:type="pct"/>
            <w:tcBorders>
              <w:top w:val="nil"/>
              <w:left w:val="nil"/>
              <w:bottom w:val="single" w:sz="8" w:space="0" w:color="auto"/>
              <w:right w:val="single" w:sz="4"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n.a.</w:t>
            </w:r>
          </w:p>
        </w:tc>
        <w:tc>
          <w:tcPr>
            <w:tcW w:w="902" w:type="pct"/>
            <w:tcBorders>
              <w:top w:val="nil"/>
              <w:left w:val="nil"/>
              <w:bottom w:val="single" w:sz="8"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39.30%</w:t>
            </w:r>
          </w:p>
        </w:tc>
        <w:tc>
          <w:tcPr>
            <w:tcW w:w="801" w:type="pct"/>
            <w:tcBorders>
              <w:top w:val="nil"/>
              <w:left w:val="nil"/>
              <w:bottom w:val="single" w:sz="8" w:space="0" w:color="auto"/>
              <w:right w:val="single" w:sz="8" w:space="0" w:color="auto"/>
            </w:tcBorders>
            <w:shd w:val="clear" w:color="auto" w:fill="auto"/>
            <w:noWrap/>
            <w:vAlign w:val="center"/>
            <w:hideMark/>
          </w:tcPr>
          <w:p w:rsidR="00D24B99" w:rsidRPr="00D24B99" w:rsidRDefault="00D24B99" w:rsidP="00D24B99">
            <w:pPr>
              <w:spacing w:line="240" w:lineRule="auto"/>
              <w:jc w:val="center"/>
              <w:rPr>
                <w:rFonts w:eastAsia="Times New Roman"/>
                <w:b/>
                <w:bCs/>
                <w:color w:val="000000"/>
                <w:lang w:eastAsia="ja-JP"/>
              </w:rPr>
            </w:pPr>
            <w:r w:rsidRPr="00D24B99">
              <w:rPr>
                <w:rFonts w:eastAsia="Times New Roman"/>
                <w:b/>
                <w:bCs/>
                <w:color w:val="000000"/>
                <w:lang w:eastAsia="ja-JP"/>
              </w:rPr>
              <w:t>58864257</w:t>
            </w:r>
          </w:p>
        </w:tc>
      </w:tr>
    </w:tbl>
    <w:p w:rsidR="00D24B99" w:rsidRDefault="00D24B99" w:rsidP="00101C49">
      <w:pPr>
        <w:rPr>
          <w:sz w:val="28"/>
          <w:szCs w:val="28"/>
          <w:highlight w:val="yellow"/>
        </w:rPr>
      </w:pPr>
    </w:p>
    <w:p w:rsidR="00A94279" w:rsidRDefault="00A94279" w:rsidP="003A45F9">
      <w:r>
        <w:t>Rispetto al rapporto diocesi-regione, alcune regioni ecclesiastiche risultano meglio censite, come si può notare dalla tabella n.</w:t>
      </w:r>
      <w:r w:rsidR="00055F28">
        <w:t xml:space="preserve"> 2, </w:t>
      </w:r>
      <w:r>
        <w:t xml:space="preserve">nella quale le percentuali vengono fatte </w:t>
      </w:r>
      <w:r w:rsidR="00055F28">
        <w:t xml:space="preserve">sia </w:t>
      </w:r>
      <w:r>
        <w:t>sul dato demografico sia sul totale della Regione che della popolazione italiana. Rispettivamente si hanno i seguenti dati: Lazio (79%- 8%), le Marche (68%- 1%), l’Emilia Romagna (65%- 5%), Liguria (57%- 2%), Triveneto (46%- 5%) e Toscana (45%- 2%) sono quelle meglio censite</w:t>
      </w:r>
      <w:r w:rsidR="006B5B25">
        <w:t xml:space="preserve">. </w:t>
      </w:r>
      <w:r>
        <w:t xml:space="preserve"> </w:t>
      </w:r>
    </w:p>
    <w:p w:rsidR="00AF325F" w:rsidRDefault="0056254D" w:rsidP="003A45F9">
      <w:r w:rsidRPr="0056254D">
        <w:t xml:space="preserve">Complessivamente le richieste </w:t>
      </w:r>
      <w:r w:rsidR="00252E78">
        <w:t>d</w:t>
      </w:r>
      <w:r w:rsidRPr="0056254D">
        <w:t>i dispense e licenze per matrimoni “misti” e “dispari” sono state 10</w:t>
      </w:r>
      <w:r w:rsidR="00252E78">
        <w:t>.</w:t>
      </w:r>
      <w:r w:rsidRPr="0056254D">
        <w:t>858, di cui la maggior parte, 6</w:t>
      </w:r>
      <w:r w:rsidR="00252E78">
        <w:t>.</w:t>
      </w:r>
      <w:r w:rsidRPr="0056254D">
        <w:t xml:space="preserve">401, pari al </w:t>
      </w:r>
      <w:r w:rsidR="00252E78">
        <w:t>5</w:t>
      </w:r>
      <w:r w:rsidRPr="0056254D">
        <w:t xml:space="preserve">9%, sono interconfessionali, 839 pari al l’8%, sono richieste con credenti di altre religioni e </w:t>
      </w:r>
      <w:r w:rsidRPr="003A45F9">
        <w:t>3</w:t>
      </w:r>
      <w:r w:rsidR="00252E78">
        <w:t>.</w:t>
      </w:r>
      <w:r w:rsidRPr="003A45F9">
        <w:t xml:space="preserve">618 pari al </w:t>
      </w:r>
      <w:r w:rsidR="00252E78">
        <w:t>3</w:t>
      </w:r>
      <w:r w:rsidRPr="003A45F9">
        <w:t xml:space="preserve">3%, con coniuge di altre tipologie (non battezzati, abbandoni della fede, battezzati passati ad altra confessione, </w:t>
      </w:r>
      <w:proofErr w:type="spellStart"/>
      <w:r w:rsidRPr="003A45F9">
        <w:t>ecc</w:t>
      </w:r>
      <w:proofErr w:type="spellEnd"/>
      <w:r w:rsidRPr="003A45F9">
        <w:t>……..</w:t>
      </w:r>
      <w:r w:rsidRPr="00055F28">
        <w:rPr>
          <w:sz w:val="18"/>
          <w:szCs w:val="18"/>
        </w:rPr>
        <w:t>).</w:t>
      </w:r>
      <w:r w:rsidRPr="006246B3">
        <w:t xml:space="preserve"> </w:t>
      </w:r>
    </w:p>
    <w:p w:rsidR="0074562C" w:rsidRPr="006B5B25" w:rsidRDefault="0074562C" w:rsidP="00FA2035">
      <w:pPr>
        <w:rPr>
          <w:b/>
        </w:rPr>
      </w:pPr>
      <w:r w:rsidRPr="006B5B25">
        <w:rPr>
          <w:b/>
        </w:rPr>
        <w:lastRenderedPageBreak/>
        <w:t>Tabella n. 3. Tipo</w:t>
      </w:r>
      <w:r w:rsidR="009E5677" w:rsidRPr="006B5B25">
        <w:rPr>
          <w:b/>
        </w:rPr>
        <w:t>logia  dei matrimoni  nel decennio</w:t>
      </w:r>
      <w:r w:rsidR="009322B6" w:rsidRPr="006B5B25">
        <w:rPr>
          <w:b/>
        </w:rPr>
        <w:t xml:space="preserve"> 1999-2000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98"/>
        <w:gridCol w:w="2490"/>
        <w:gridCol w:w="2490"/>
      </w:tblGrid>
      <w:tr w:rsidR="00BE5B40" w:rsidRPr="00BE5B40" w:rsidTr="00BE5B40">
        <w:trPr>
          <w:trHeight w:val="300"/>
          <w:jc w:val="center"/>
        </w:trPr>
        <w:tc>
          <w:tcPr>
            <w:tcW w:w="2453" w:type="pct"/>
            <w:shd w:val="clear" w:color="auto" w:fill="auto"/>
            <w:noWrap/>
            <w:vAlign w:val="bottom"/>
            <w:hideMark/>
          </w:tcPr>
          <w:p w:rsidR="00BE5B40" w:rsidRPr="00BE5B40" w:rsidRDefault="00BE5B40" w:rsidP="00BE5B40">
            <w:pPr>
              <w:spacing w:line="240" w:lineRule="auto"/>
              <w:jc w:val="center"/>
              <w:rPr>
                <w:rFonts w:eastAsia="Times New Roman"/>
                <w:color w:val="000000"/>
                <w:lang w:eastAsia="ja-JP"/>
              </w:rPr>
            </w:pPr>
            <w:r>
              <w:rPr>
                <w:rFonts w:eastAsia="Times New Roman"/>
                <w:color w:val="000000"/>
                <w:lang w:eastAsia="ja-JP"/>
              </w:rPr>
              <w:t>Tipologia dei matrimoni</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V.A.</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w:t>
            </w:r>
          </w:p>
        </w:tc>
      </w:tr>
      <w:tr w:rsidR="00BE5B40" w:rsidRPr="00BE5B40" w:rsidTr="00BE5B40">
        <w:trPr>
          <w:trHeight w:val="300"/>
          <w:jc w:val="center"/>
        </w:trPr>
        <w:tc>
          <w:tcPr>
            <w:tcW w:w="2453" w:type="pct"/>
            <w:shd w:val="clear" w:color="auto" w:fill="auto"/>
            <w:noWrap/>
            <w:vAlign w:val="center"/>
            <w:hideMark/>
          </w:tcPr>
          <w:p w:rsidR="00BE5B40" w:rsidRPr="00BE5B40" w:rsidRDefault="00BE5B40" w:rsidP="00BE5B40">
            <w:pPr>
              <w:spacing w:line="240" w:lineRule="auto"/>
              <w:rPr>
                <w:rFonts w:eastAsia="Times New Roman"/>
                <w:color w:val="000000"/>
                <w:lang w:eastAsia="ja-JP"/>
              </w:rPr>
            </w:pPr>
            <w:r w:rsidRPr="00BE5B40">
              <w:rPr>
                <w:rFonts w:eastAsia="Times New Roman"/>
                <w:color w:val="000000"/>
                <w:lang w:eastAsia="ja-JP"/>
              </w:rPr>
              <w:t>Interconfessionali</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6401</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58.95%</w:t>
            </w:r>
          </w:p>
        </w:tc>
      </w:tr>
      <w:tr w:rsidR="00BE5B40" w:rsidRPr="00BE5B40" w:rsidTr="00BE5B40">
        <w:trPr>
          <w:trHeight w:val="300"/>
          <w:jc w:val="center"/>
        </w:trPr>
        <w:tc>
          <w:tcPr>
            <w:tcW w:w="2453" w:type="pct"/>
            <w:shd w:val="clear" w:color="auto" w:fill="auto"/>
            <w:noWrap/>
            <w:vAlign w:val="center"/>
            <w:hideMark/>
          </w:tcPr>
          <w:p w:rsidR="00BE5B40" w:rsidRPr="00BE5B40" w:rsidRDefault="00BE5B40" w:rsidP="00BE5B40">
            <w:pPr>
              <w:spacing w:line="240" w:lineRule="auto"/>
              <w:rPr>
                <w:rFonts w:eastAsia="Times New Roman"/>
                <w:color w:val="000000"/>
                <w:lang w:eastAsia="ja-JP"/>
              </w:rPr>
            </w:pPr>
            <w:r w:rsidRPr="00BE5B40">
              <w:rPr>
                <w:rFonts w:eastAsia="Times New Roman"/>
                <w:color w:val="000000"/>
                <w:lang w:eastAsia="ja-JP"/>
              </w:rPr>
              <w:t>Interreligiosi</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839</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7.73%</w:t>
            </w:r>
          </w:p>
        </w:tc>
      </w:tr>
      <w:tr w:rsidR="00BE5B40" w:rsidRPr="00BE5B40" w:rsidTr="00BE5B40">
        <w:trPr>
          <w:trHeight w:val="300"/>
          <w:jc w:val="center"/>
        </w:trPr>
        <w:tc>
          <w:tcPr>
            <w:tcW w:w="2453" w:type="pct"/>
            <w:shd w:val="clear" w:color="auto" w:fill="auto"/>
            <w:noWrap/>
            <w:vAlign w:val="center"/>
            <w:hideMark/>
          </w:tcPr>
          <w:p w:rsidR="00BE5B40" w:rsidRPr="00BE5B40" w:rsidRDefault="00BE5B40" w:rsidP="00BE5B40">
            <w:pPr>
              <w:spacing w:line="240" w:lineRule="auto"/>
              <w:rPr>
                <w:rFonts w:eastAsia="Times New Roman"/>
                <w:color w:val="000000"/>
                <w:lang w:eastAsia="ja-JP"/>
              </w:rPr>
            </w:pPr>
            <w:r w:rsidRPr="00BE5B40">
              <w:rPr>
                <w:rFonts w:eastAsia="Times New Roman"/>
                <w:color w:val="000000"/>
                <w:lang w:eastAsia="ja-JP"/>
              </w:rPr>
              <w:t>Matrimoni con altri</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3618</w:t>
            </w:r>
          </w:p>
        </w:tc>
        <w:tc>
          <w:tcPr>
            <w:tcW w:w="1273" w:type="pct"/>
            <w:shd w:val="clear" w:color="auto" w:fill="auto"/>
            <w:noWrap/>
            <w:vAlign w:val="center"/>
            <w:hideMark/>
          </w:tcPr>
          <w:p w:rsidR="00BE5B40" w:rsidRPr="00BE5B40" w:rsidRDefault="00BE5B40" w:rsidP="00BE5B40">
            <w:pPr>
              <w:spacing w:line="240" w:lineRule="auto"/>
              <w:jc w:val="center"/>
              <w:rPr>
                <w:rFonts w:eastAsia="Times New Roman"/>
                <w:color w:val="000000"/>
                <w:lang w:eastAsia="ja-JP"/>
              </w:rPr>
            </w:pPr>
            <w:r w:rsidRPr="00BE5B40">
              <w:rPr>
                <w:rFonts w:eastAsia="Times New Roman"/>
                <w:color w:val="000000"/>
                <w:lang w:eastAsia="ja-JP"/>
              </w:rPr>
              <w:t>33.32%</w:t>
            </w:r>
          </w:p>
        </w:tc>
      </w:tr>
      <w:tr w:rsidR="00BE5B40" w:rsidRPr="00055F28" w:rsidTr="00BE5B40">
        <w:trPr>
          <w:trHeight w:val="300"/>
          <w:jc w:val="center"/>
        </w:trPr>
        <w:tc>
          <w:tcPr>
            <w:tcW w:w="2453" w:type="pct"/>
            <w:shd w:val="clear" w:color="auto" w:fill="auto"/>
            <w:noWrap/>
            <w:vAlign w:val="center"/>
            <w:hideMark/>
          </w:tcPr>
          <w:p w:rsidR="00BE5B40" w:rsidRPr="00055F28" w:rsidRDefault="00BE5B40" w:rsidP="00BE5B40">
            <w:pPr>
              <w:spacing w:line="240" w:lineRule="auto"/>
              <w:rPr>
                <w:rFonts w:eastAsia="Times New Roman"/>
                <w:b/>
                <w:color w:val="000000"/>
                <w:lang w:eastAsia="ja-JP"/>
              </w:rPr>
            </w:pPr>
            <w:r w:rsidRPr="00055F28">
              <w:rPr>
                <w:rFonts w:eastAsia="Times New Roman"/>
                <w:b/>
                <w:color w:val="000000"/>
                <w:lang w:eastAsia="ja-JP"/>
              </w:rPr>
              <w:t>TOT</w:t>
            </w:r>
          </w:p>
        </w:tc>
        <w:tc>
          <w:tcPr>
            <w:tcW w:w="1273" w:type="pct"/>
            <w:shd w:val="clear" w:color="auto" w:fill="auto"/>
            <w:noWrap/>
            <w:vAlign w:val="center"/>
            <w:hideMark/>
          </w:tcPr>
          <w:p w:rsidR="00BE5B40" w:rsidRPr="00055F28" w:rsidRDefault="00BE5B40" w:rsidP="00BE5B40">
            <w:pPr>
              <w:spacing w:line="240" w:lineRule="auto"/>
              <w:jc w:val="center"/>
              <w:rPr>
                <w:rFonts w:eastAsia="Times New Roman"/>
                <w:b/>
                <w:color w:val="000000"/>
                <w:lang w:eastAsia="ja-JP"/>
              </w:rPr>
            </w:pPr>
            <w:r w:rsidRPr="00055F28">
              <w:rPr>
                <w:rFonts w:eastAsia="Times New Roman"/>
                <w:b/>
                <w:color w:val="000000"/>
                <w:lang w:eastAsia="ja-JP"/>
              </w:rPr>
              <w:t>10858</w:t>
            </w:r>
          </w:p>
        </w:tc>
        <w:tc>
          <w:tcPr>
            <w:tcW w:w="1273" w:type="pct"/>
            <w:shd w:val="clear" w:color="auto" w:fill="auto"/>
            <w:noWrap/>
            <w:vAlign w:val="center"/>
            <w:hideMark/>
          </w:tcPr>
          <w:p w:rsidR="00BE5B40" w:rsidRPr="00055F28" w:rsidRDefault="00BE5B40" w:rsidP="00BE5B40">
            <w:pPr>
              <w:spacing w:line="240" w:lineRule="auto"/>
              <w:jc w:val="center"/>
              <w:rPr>
                <w:rFonts w:eastAsia="Times New Roman"/>
                <w:b/>
                <w:color w:val="000000"/>
                <w:lang w:eastAsia="ja-JP"/>
              </w:rPr>
            </w:pPr>
            <w:r w:rsidRPr="00055F28">
              <w:rPr>
                <w:rFonts w:eastAsia="Times New Roman"/>
                <w:b/>
                <w:color w:val="000000"/>
                <w:lang w:eastAsia="ja-JP"/>
              </w:rPr>
              <w:t>100.00%</w:t>
            </w:r>
          </w:p>
        </w:tc>
      </w:tr>
    </w:tbl>
    <w:p w:rsidR="00BF5E24" w:rsidRPr="003A45F9" w:rsidRDefault="00101C49" w:rsidP="003A45F9">
      <w:r>
        <w:t>A parte il picco della città di Roma, i matrimoni i “interconfessionali”, “interreligiosi” e “altri” si concentrano nelle città del Nord</w:t>
      </w:r>
      <w:r w:rsidR="00252E78">
        <w:t xml:space="preserve"> e del Centro</w:t>
      </w:r>
      <w:r>
        <w:t xml:space="preserve">, dove, come sappiamo, </w:t>
      </w:r>
      <w:r w:rsidR="009D1658">
        <w:t xml:space="preserve">risiede un </w:t>
      </w:r>
      <w:r w:rsidR="009D1658" w:rsidRPr="003A45F9">
        <w:t xml:space="preserve">maggior numero di </w:t>
      </w:r>
      <w:r w:rsidRPr="003A45F9">
        <w:t>popolazione immigrata</w:t>
      </w:r>
      <w:r w:rsidR="009E3A91" w:rsidRPr="003A45F9">
        <w:t xml:space="preserve">, anche se l’analisi da noi realizzata riguarda, come si vedrà, anche </w:t>
      </w:r>
      <w:r w:rsidR="00FE2036">
        <w:t>gli i</w:t>
      </w:r>
      <w:r w:rsidR="009E3A91" w:rsidRPr="003A45F9">
        <w:t>taliani</w:t>
      </w:r>
      <w:r w:rsidR="00FE2036">
        <w:t xml:space="preserve"> riservandoci delle sorprese</w:t>
      </w:r>
      <w:r w:rsidR="009E3A91" w:rsidRPr="003A45F9">
        <w:t xml:space="preserve">. </w:t>
      </w:r>
      <w:r w:rsidRPr="003A45F9">
        <w:t xml:space="preserve">  </w:t>
      </w:r>
    </w:p>
    <w:p w:rsidR="0074562C" w:rsidRPr="00875554" w:rsidRDefault="0074562C" w:rsidP="003A45F9">
      <w:pPr>
        <w:rPr>
          <w:b/>
        </w:rPr>
      </w:pPr>
      <w:r w:rsidRPr="00875554">
        <w:rPr>
          <w:b/>
        </w:rPr>
        <w:t>Tab. n. 4. Tipologia dei matrimoni per diocesi (le prime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915"/>
        <w:gridCol w:w="1078"/>
        <w:gridCol w:w="1050"/>
        <w:gridCol w:w="914"/>
        <w:gridCol w:w="1050"/>
        <w:gridCol w:w="914"/>
        <w:gridCol w:w="1025"/>
        <w:gridCol w:w="938"/>
      </w:tblGrid>
      <w:tr w:rsidR="00FE7FA9" w:rsidRPr="0007435B" w:rsidTr="00297884">
        <w:trPr>
          <w:cantSplit/>
          <w:trHeight w:val="20"/>
        </w:trPr>
        <w:tc>
          <w:tcPr>
            <w:tcW w:w="999" w:type="pct"/>
            <w:shd w:val="clear" w:color="auto" w:fill="FFFFFF"/>
            <w:vAlign w:val="center"/>
          </w:tcPr>
          <w:p w:rsidR="00FE7FA9" w:rsidRPr="00FE7FA9" w:rsidRDefault="00FE7FA9" w:rsidP="00FE7FA9">
            <w:pPr>
              <w:jc w:val="center"/>
              <w:rPr>
                <w:b/>
              </w:rPr>
            </w:pPr>
            <w:r w:rsidRPr="00FE7FA9">
              <w:rPr>
                <w:b/>
              </w:rPr>
              <w:t>Diocesi</w:t>
            </w:r>
          </w:p>
        </w:tc>
        <w:tc>
          <w:tcPr>
            <w:tcW w:w="1011" w:type="pct"/>
            <w:gridSpan w:val="2"/>
            <w:shd w:val="clear" w:color="auto" w:fill="FFFFFF"/>
            <w:vAlign w:val="center"/>
          </w:tcPr>
          <w:p w:rsidR="00FE7FA9" w:rsidRPr="00FE7FA9" w:rsidRDefault="00FE7FA9" w:rsidP="00FE7FA9">
            <w:pPr>
              <w:jc w:val="center"/>
              <w:rPr>
                <w:b/>
              </w:rPr>
            </w:pPr>
            <w:r w:rsidRPr="00FE7FA9">
              <w:rPr>
                <w:b/>
              </w:rPr>
              <w:t>Matrimoni interconfessionali</w:t>
            </w:r>
          </w:p>
        </w:tc>
        <w:tc>
          <w:tcPr>
            <w:tcW w:w="997" w:type="pct"/>
            <w:gridSpan w:val="2"/>
            <w:shd w:val="clear" w:color="auto" w:fill="FFFFFF"/>
            <w:vAlign w:val="center"/>
          </w:tcPr>
          <w:p w:rsidR="00FE7FA9" w:rsidRPr="00FE7FA9" w:rsidRDefault="00FE7FA9" w:rsidP="00FE7FA9">
            <w:pPr>
              <w:jc w:val="center"/>
              <w:rPr>
                <w:b/>
              </w:rPr>
            </w:pPr>
            <w:r w:rsidRPr="00FE7FA9">
              <w:rPr>
                <w:b/>
              </w:rPr>
              <w:t>Matrimoni interreligiosi</w:t>
            </w:r>
          </w:p>
        </w:tc>
        <w:tc>
          <w:tcPr>
            <w:tcW w:w="997" w:type="pct"/>
            <w:gridSpan w:val="2"/>
            <w:shd w:val="clear" w:color="auto" w:fill="FFFFFF"/>
            <w:vAlign w:val="center"/>
          </w:tcPr>
          <w:p w:rsidR="00FE7FA9" w:rsidRPr="00FE7FA9" w:rsidRDefault="00FE7FA9" w:rsidP="00FE7FA9">
            <w:pPr>
              <w:jc w:val="center"/>
              <w:rPr>
                <w:b/>
              </w:rPr>
            </w:pPr>
            <w:r w:rsidRPr="00FE7FA9">
              <w:rPr>
                <w:b/>
              </w:rPr>
              <w:t>Altro</w:t>
            </w:r>
          </w:p>
        </w:tc>
        <w:tc>
          <w:tcPr>
            <w:tcW w:w="997" w:type="pct"/>
            <w:gridSpan w:val="2"/>
            <w:shd w:val="clear" w:color="auto" w:fill="FFFFFF"/>
            <w:vAlign w:val="center"/>
          </w:tcPr>
          <w:p w:rsidR="00FE7FA9" w:rsidRPr="00FE7FA9" w:rsidRDefault="00FE7FA9" w:rsidP="00FE7FA9">
            <w:pPr>
              <w:jc w:val="center"/>
              <w:rPr>
                <w:b/>
              </w:rPr>
            </w:pPr>
            <w:r w:rsidRPr="00FE7FA9">
              <w:rPr>
                <w:b/>
              </w:rPr>
              <w:t>Totale</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Default="00FE7FA9" w:rsidP="00FE7FA9">
            <w:pPr>
              <w:ind w:left="108"/>
              <w:jc w:val="center"/>
            </w:pPr>
          </w:p>
        </w:tc>
        <w:tc>
          <w:tcPr>
            <w:tcW w:w="464" w:type="pct"/>
            <w:vAlign w:val="center"/>
          </w:tcPr>
          <w:p w:rsidR="00FE7FA9" w:rsidRDefault="00FE7FA9" w:rsidP="00FE7FA9">
            <w:pPr>
              <w:ind w:left="108"/>
              <w:jc w:val="center"/>
            </w:pPr>
            <w:r>
              <w:t>v.a.</w:t>
            </w:r>
          </w:p>
        </w:tc>
        <w:tc>
          <w:tcPr>
            <w:tcW w:w="547" w:type="pct"/>
            <w:vAlign w:val="center"/>
          </w:tcPr>
          <w:p w:rsidR="00FE7FA9" w:rsidRDefault="00FE7FA9" w:rsidP="00FE7FA9">
            <w:pPr>
              <w:ind w:left="108"/>
              <w:jc w:val="center"/>
            </w:pPr>
            <w:r>
              <w:t>%</w:t>
            </w:r>
          </w:p>
        </w:tc>
        <w:tc>
          <w:tcPr>
            <w:tcW w:w="533" w:type="pct"/>
            <w:vAlign w:val="center"/>
          </w:tcPr>
          <w:p w:rsidR="00FE7FA9" w:rsidRDefault="00FE7FA9" w:rsidP="00FE7FA9">
            <w:pPr>
              <w:ind w:left="108"/>
              <w:jc w:val="center"/>
            </w:pPr>
            <w:r>
              <w:t>v.a.</w:t>
            </w:r>
          </w:p>
        </w:tc>
        <w:tc>
          <w:tcPr>
            <w:tcW w:w="463" w:type="pct"/>
            <w:vAlign w:val="center"/>
          </w:tcPr>
          <w:p w:rsidR="00FE7FA9" w:rsidRDefault="00FE7FA9" w:rsidP="00FE7FA9">
            <w:pPr>
              <w:ind w:left="108"/>
              <w:jc w:val="center"/>
            </w:pPr>
            <w:r>
              <w:t>%</w:t>
            </w:r>
          </w:p>
        </w:tc>
        <w:tc>
          <w:tcPr>
            <w:tcW w:w="533" w:type="pct"/>
            <w:vAlign w:val="center"/>
          </w:tcPr>
          <w:p w:rsidR="00FE7FA9" w:rsidRDefault="00FE7FA9" w:rsidP="00FE7FA9">
            <w:pPr>
              <w:ind w:left="108"/>
              <w:jc w:val="center"/>
            </w:pPr>
            <w:r>
              <w:t>v.a.</w:t>
            </w:r>
          </w:p>
        </w:tc>
        <w:tc>
          <w:tcPr>
            <w:tcW w:w="463" w:type="pct"/>
            <w:vAlign w:val="center"/>
          </w:tcPr>
          <w:p w:rsidR="00FE7FA9" w:rsidRDefault="00FE7FA9" w:rsidP="00FE7FA9">
            <w:pPr>
              <w:ind w:left="108"/>
              <w:jc w:val="center"/>
            </w:pPr>
            <w:r>
              <w:t>%</w:t>
            </w:r>
          </w:p>
        </w:tc>
        <w:tc>
          <w:tcPr>
            <w:tcW w:w="520" w:type="pct"/>
            <w:vAlign w:val="center"/>
          </w:tcPr>
          <w:p w:rsidR="00FE7FA9" w:rsidRDefault="00FE7FA9" w:rsidP="00FE7FA9">
            <w:pPr>
              <w:ind w:left="108"/>
              <w:jc w:val="center"/>
            </w:pPr>
            <w:r>
              <w:t>v.a.</w:t>
            </w:r>
          </w:p>
        </w:tc>
        <w:tc>
          <w:tcPr>
            <w:tcW w:w="477" w:type="pct"/>
            <w:vAlign w:val="center"/>
          </w:tcPr>
          <w:p w:rsidR="00FE7FA9" w:rsidRDefault="00FE7FA9" w:rsidP="00FE7FA9">
            <w:pPr>
              <w:ind w:left="108"/>
              <w:jc w:val="center"/>
            </w:pPr>
            <w:r>
              <w:t>%</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Roma</w:t>
            </w:r>
          </w:p>
        </w:tc>
        <w:tc>
          <w:tcPr>
            <w:tcW w:w="464" w:type="pct"/>
            <w:shd w:val="clear" w:color="auto" w:fill="auto"/>
            <w:vAlign w:val="center"/>
          </w:tcPr>
          <w:p w:rsidR="00FE7FA9" w:rsidRDefault="00FE7FA9" w:rsidP="00FE7FA9">
            <w:pPr>
              <w:jc w:val="center"/>
            </w:pPr>
            <w:r w:rsidRPr="00FE7FA9">
              <w:rPr>
                <w:rFonts w:cs="Calibri"/>
                <w:color w:val="000000"/>
              </w:rPr>
              <w:t>1575</w:t>
            </w:r>
          </w:p>
        </w:tc>
        <w:tc>
          <w:tcPr>
            <w:tcW w:w="547" w:type="pct"/>
            <w:shd w:val="clear" w:color="auto" w:fill="auto"/>
            <w:vAlign w:val="center"/>
          </w:tcPr>
          <w:p w:rsidR="00FE7FA9" w:rsidRDefault="00FE7FA9" w:rsidP="00FE7FA9">
            <w:pPr>
              <w:jc w:val="center"/>
            </w:pPr>
            <w:r w:rsidRPr="00FE7FA9">
              <w:rPr>
                <w:rFonts w:cs="Calibri"/>
                <w:color w:val="000000"/>
              </w:rPr>
              <w:t>24,61%</w:t>
            </w:r>
          </w:p>
        </w:tc>
        <w:tc>
          <w:tcPr>
            <w:tcW w:w="533" w:type="pct"/>
            <w:shd w:val="clear" w:color="auto" w:fill="auto"/>
            <w:vAlign w:val="center"/>
          </w:tcPr>
          <w:p w:rsidR="00FE7FA9" w:rsidRDefault="00FE7FA9" w:rsidP="00FE7FA9">
            <w:pPr>
              <w:jc w:val="center"/>
            </w:pPr>
            <w:r w:rsidRPr="00FE7FA9">
              <w:rPr>
                <w:rFonts w:cs="Calibri"/>
                <w:color w:val="000000"/>
              </w:rPr>
              <w:t>181</w:t>
            </w:r>
          </w:p>
        </w:tc>
        <w:tc>
          <w:tcPr>
            <w:tcW w:w="463" w:type="pct"/>
            <w:shd w:val="clear" w:color="auto" w:fill="auto"/>
            <w:vAlign w:val="center"/>
          </w:tcPr>
          <w:p w:rsidR="00FE7FA9" w:rsidRDefault="00FE7FA9" w:rsidP="00FE7FA9">
            <w:pPr>
              <w:jc w:val="center"/>
            </w:pPr>
            <w:r w:rsidRPr="00FE7FA9">
              <w:rPr>
                <w:rFonts w:cs="Calibri"/>
                <w:color w:val="000000"/>
              </w:rPr>
              <w:t>21,57%</w:t>
            </w:r>
          </w:p>
        </w:tc>
        <w:tc>
          <w:tcPr>
            <w:tcW w:w="533" w:type="pct"/>
            <w:shd w:val="clear" w:color="auto" w:fill="auto"/>
            <w:vAlign w:val="center"/>
          </w:tcPr>
          <w:p w:rsidR="00FE7FA9" w:rsidRDefault="00FE7FA9" w:rsidP="00FE7FA9">
            <w:pPr>
              <w:jc w:val="center"/>
            </w:pPr>
            <w:r w:rsidRPr="00FE7FA9">
              <w:rPr>
                <w:rFonts w:cs="Calibri"/>
                <w:color w:val="000000"/>
              </w:rPr>
              <w:t>1081</w:t>
            </w:r>
          </w:p>
        </w:tc>
        <w:tc>
          <w:tcPr>
            <w:tcW w:w="463" w:type="pct"/>
            <w:shd w:val="clear" w:color="auto" w:fill="auto"/>
            <w:vAlign w:val="center"/>
          </w:tcPr>
          <w:p w:rsidR="00FE7FA9" w:rsidRDefault="00FE7FA9" w:rsidP="00FE7FA9">
            <w:pPr>
              <w:jc w:val="center"/>
            </w:pPr>
            <w:r w:rsidRPr="00FE7FA9">
              <w:rPr>
                <w:rFonts w:cs="Calibri"/>
                <w:color w:val="000000"/>
              </w:rPr>
              <w:t>29,88%</w:t>
            </w:r>
          </w:p>
        </w:tc>
        <w:tc>
          <w:tcPr>
            <w:tcW w:w="520" w:type="pct"/>
            <w:shd w:val="clear" w:color="auto" w:fill="auto"/>
            <w:vAlign w:val="center"/>
          </w:tcPr>
          <w:p w:rsidR="00FE7FA9" w:rsidRDefault="00FE7FA9" w:rsidP="00FE7FA9">
            <w:pPr>
              <w:jc w:val="center"/>
            </w:pPr>
            <w:r w:rsidRPr="00FE7FA9">
              <w:rPr>
                <w:rFonts w:cs="Calibri"/>
                <w:color w:val="000000"/>
              </w:rPr>
              <w:t>2837</w:t>
            </w:r>
          </w:p>
        </w:tc>
        <w:tc>
          <w:tcPr>
            <w:tcW w:w="477" w:type="pct"/>
            <w:shd w:val="clear" w:color="auto" w:fill="auto"/>
            <w:vAlign w:val="center"/>
          </w:tcPr>
          <w:p w:rsidR="00FE7FA9" w:rsidRDefault="00FE7FA9" w:rsidP="00FE7FA9">
            <w:pPr>
              <w:jc w:val="center"/>
            </w:pPr>
            <w:r w:rsidRPr="00FE7FA9">
              <w:rPr>
                <w:rFonts w:cs="Calibri"/>
                <w:color w:val="000000"/>
              </w:rPr>
              <w:t>26,13%</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Firenze</w:t>
            </w:r>
          </w:p>
        </w:tc>
        <w:tc>
          <w:tcPr>
            <w:tcW w:w="464" w:type="pct"/>
            <w:shd w:val="clear" w:color="auto" w:fill="auto"/>
            <w:vAlign w:val="center"/>
          </w:tcPr>
          <w:p w:rsidR="00FE7FA9" w:rsidRDefault="00FE7FA9" w:rsidP="00FE7FA9">
            <w:pPr>
              <w:jc w:val="center"/>
            </w:pPr>
            <w:r w:rsidRPr="00FE7FA9">
              <w:rPr>
                <w:rFonts w:cs="Calibri"/>
                <w:color w:val="000000"/>
              </w:rPr>
              <w:t>338</w:t>
            </w:r>
          </w:p>
        </w:tc>
        <w:tc>
          <w:tcPr>
            <w:tcW w:w="547" w:type="pct"/>
            <w:shd w:val="clear" w:color="auto" w:fill="auto"/>
            <w:vAlign w:val="center"/>
          </w:tcPr>
          <w:p w:rsidR="00FE7FA9" w:rsidRDefault="00FE7FA9" w:rsidP="00FE7FA9">
            <w:pPr>
              <w:jc w:val="center"/>
            </w:pPr>
            <w:r w:rsidRPr="00FE7FA9">
              <w:rPr>
                <w:rFonts w:cs="Calibri"/>
                <w:color w:val="000000"/>
              </w:rPr>
              <w:t>5,28%</w:t>
            </w:r>
          </w:p>
        </w:tc>
        <w:tc>
          <w:tcPr>
            <w:tcW w:w="533" w:type="pct"/>
            <w:shd w:val="clear" w:color="auto" w:fill="auto"/>
            <w:vAlign w:val="center"/>
          </w:tcPr>
          <w:p w:rsidR="00FE7FA9" w:rsidRDefault="00FE7FA9" w:rsidP="00FE7FA9">
            <w:pPr>
              <w:jc w:val="center"/>
            </w:pPr>
            <w:r w:rsidRPr="00FE7FA9">
              <w:rPr>
                <w:rFonts w:cs="Calibri"/>
                <w:color w:val="000000"/>
              </w:rPr>
              <w:t>61</w:t>
            </w:r>
          </w:p>
        </w:tc>
        <w:tc>
          <w:tcPr>
            <w:tcW w:w="463" w:type="pct"/>
            <w:shd w:val="clear" w:color="auto" w:fill="auto"/>
            <w:vAlign w:val="center"/>
          </w:tcPr>
          <w:p w:rsidR="00FE7FA9" w:rsidRDefault="00FE7FA9" w:rsidP="00FE7FA9">
            <w:pPr>
              <w:jc w:val="center"/>
            </w:pPr>
            <w:r w:rsidRPr="00FE7FA9">
              <w:rPr>
                <w:rFonts w:cs="Calibri"/>
                <w:color w:val="000000"/>
              </w:rPr>
              <w:t>7,27%</w:t>
            </w:r>
          </w:p>
        </w:tc>
        <w:tc>
          <w:tcPr>
            <w:tcW w:w="533" w:type="pct"/>
            <w:shd w:val="clear" w:color="auto" w:fill="auto"/>
            <w:vAlign w:val="center"/>
          </w:tcPr>
          <w:p w:rsidR="00FE7FA9" w:rsidRDefault="00FE7FA9" w:rsidP="00FE7FA9">
            <w:pPr>
              <w:jc w:val="center"/>
            </w:pPr>
            <w:r w:rsidRPr="00FE7FA9">
              <w:rPr>
                <w:rFonts w:cs="Calibri"/>
                <w:color w:val="000000"/>
              </w:rPr>
              <w:t>461</w:t>
            </w:r>
          </w:p>
        </w:tc>
        <w:tc>
          <w:tcPr>
            <w:tcW w:w="463" w:type="pct"/>
            <w:shd w:val="clear" w:color="auto" w:fill="auto"/>
            <w:vAlign w:val="center"/>
          </w:tcPr>
          <w:p w:rsidR="00FE7FA9" w:rsidRDefault="00FE7FA9" w:rsidP="00FE7FA9">
            <w:pPr>
              <w:jc w:val="center"/>
            </w:pPr>
            <w:r w:rsidRPr="00FE7FA9">
              <w:rPr>
                <w:rFonts w:cs="Calibri"/>
                <w:color w:val="000000"/>
              </w:rPr>
              <w:t>12,74%</w:t>
            </w:r>
          </w:p>
        </w:tc>
        <w:tc>
          <w:tcPr>
            <w:tcW w:w="520" w:type="pct"/>
            <w:shd w:val="clear" w:color="auto" w:fill="auto"/>
            <w:vAlign w:val="center"/>
          </w:tcPr>
          <w:p w:rsidR="00FE7FA9" w:rsidRDefault="00FE7FA9" w:rsidP="00FE7FA9">
            <w:pPr>
              <w:jc w:val="center"/>
            </w:pPr>
            <w:r w:rsidRPr="00FE7FA9">
              <w:rPr>
                <w:rFonts w:cs="Calibri"/>
                <w:color w:val="000000"/>
              </w:rPr>
              <w:t>860</w:t>
            </w:r>
          </w:p>
        </w:tc>
        <w:tc>
          <w:tcPr>
            <w:tcW w:w="477" w:type="pct"/>
            <w:shd w:val="clear" w:color="auto" w:fill="auto"/>
            <w:vAlign w:val="center"/>
          </w:tcPr>
          <w:p w:rsidR="00FE7FA9" w:rsidRDefault="00FE7FA9" w:rsidP="00FE7FA9">
            <w:pPr>
              <w:jc w:val="center"/>
            </w:pPr>
            <w:r w:rsidRPr="00FE7FA9">
              <w:rPr>
                <w:rFonts w:cs="Calibri"/>
                <w:color w:val="000000"/>
              </w:rPr>
              <w:t>7,92%</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Pisa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97</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1,52%</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12</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1,43%</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156</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4,31%</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265</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2,44%</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Bologna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217</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3,39%</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52</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6,20%</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149</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4,12%</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418</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3,85%</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Vicenza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216</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3,37%</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29</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3,46%</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40</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1,11%</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285</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2,62%</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Como</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146</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2,28%</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16</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1,91%</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141</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3,90%</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303</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2,79%</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Venezia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159</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2,48%</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24</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2,86%</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43</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1,19%</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226</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2,08%</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Genova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128</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2,00%</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24</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2,86%</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127</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3,51%</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279</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2,57%</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b/>
              </w:rPr>
              <w:t>Bergamo</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232</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3,62%</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37</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4,41%</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125</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3,45%</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394</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3,63%</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b/>
              </w:rPr>
            </w:pPr>
            <w:r w:rsidRPr="00FE7FA9">
              <w:rPr>
                <w:rFonts w:cs="Calibri"/>
                <w:b/>
                <w:color w:val="000000"/>
              </w:rPr>
              <w:t xml:space="preserve">Bolzano - Bressanone, Bozen </w:t>
            </w:r>
            <w:r w:rsidR="00856943">
              <w:rPr>
                <w:rFonts w:cs="Calibri"/>
                <w:b/>
                <w:color w:val="000000"/>
              </w:rPr>
              <w:t>–</w:t>
            </w:r>
            <w:r w:rsidRPr="00FE7FA9">
              <w:rPr>
                <w:rFonts w:cs="Calibri"/>
                <w:b/>
                <w:color w:val="000000"/>
              </w:rPr>
              <w:t xml:space="preserve"> Brixen</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286</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4,47%</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8</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0,95%</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74</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2,05%</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368</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3,39%</w:t>
            </w:r>
          </w:p>
        </w:tc>
      </w:tr>
      <w:tr w:rsidR="00FE7FA9" w:rsidTr="00893B95">
        <w:tblPrEx>
          <w:tblCellMar>
            <w:left w:w="70" w:type="dxa"/>
            <w:right w:w="70" w:type="dxa"/>
          </w:tblCellMar>
          <w:tblLook w:val="0000" w:firstRow="0" w:lastRow="0" w:firstColumn="0" w:lastColumn="0" w:noHBand="0" w:noVBand="0"/>
        </w:tblPrEx>
        <w:trPr>
          <w:cantSplit/>
          <w:trHeight w:val="20"/>
        </w:trPr>
        <w:tc>
          <w:tcPr>
            <w:tcW w:w="999" w:type="pct"/>
            <w:vAlign w:val="center"/>
          </w:tcPr>
          <w:p w:rsidR="00FE7FA9" w:rsidRPr="00FE7FA9" w:rsidRDefault="00FE7FA9" w:rsidP="00FE7FA9">
            <w:pPr>
              <w:rPr>
                <w:rFonts w:cs="Calibri"/>
                <w:b/>
                <w:color w:val="000000"/>
              </w:rPr>
            </w:pPr>
            <w:r w:rsidRPr="00FE7FA9">
              <w:rPr>
                <w:rFonts w:cs="Calibri"/>
                <w:b/>
                <w:color w:val="000000"/>
              </w:rPr>
              <w:t>Porto – Santa Rufina</w:t>
            </w:r>
          </w:p>
        </w:tc>
        <w:tc>
          <w:tcPr>
            <w:tcW w:w="464"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130</w:t>
            </w:r>
          </w:p>
        </w:tc>
        <w:tc>
          <w:tcPr>
            <w:tcW w:w="54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2,03%</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15</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1,79%</w:t>
            </w:r>
          </w:p>
        </w:tc>
        <w:tc>
          <w:tcPr>
            <w:tcW w:w="53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75</w:t>
            </w:r>
          </w:p>
        </w:tc>
        <w:tc>
          <w:tcPr>
            <w:tcW w:w="463"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2,07%</w:t>
            </w:r>
          </w:p>
        </w:tc>
        <w:tc>
          <w:tcPr>
            <w:tcW w:w="520"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220</w:t>
            </w:r>
          </w:p>
        </w:tc>
        <w:tc>
          <w:tcPr>
            <w:tcW w:w="477" w:type="pct"/>
            <w:shd w:val="clear" w:color="auto" w:fill="auto"/>
            <w:vAlign w:val="center"/>
          </w:tcPr>
          <w:p w:rsidR="00FE7FA9" w:rsidRPr="00FE7FA9" w:rsidRDefault="00FE7FA9" w:rsidP="00FE7FA9">
            <w:pPr>
              <w:jc w:val="center"/>
              <w:rPr>
                <w:rFonts w:cs="Calibri"/>
                <w:color w:val="000000"/>
              </w:rPr>
            </w:pPr>
            <w:r w:rsidRPr="00FE7FA9">
              <w:rPr>
                <w:rFonts w:cs="Calibri"/>
                <w:color w:val="000000"/>
              </w:rPr>
              <w:t>2,03%</w:t>
            </w:r>
          </w:p>
        </w:tc>
      </w:tr>
    </w:tbl>
    <w:p w:rsidR="00505D08" w:rsidRDefault="00505D08" w:rsidP="003227E1">
      <w:pPr>
        <w:rPr>
          <w:sz w:val="28"/>
          <w:szCs w:val="28"/>
        </w:rPr>
      </w:pPr>
    </w:p>
    <w:p w:rsidR="003806AE" w:rsidRDefault="00D74FBE" w:rsidP="00893B95">
      <w:r>
        <w:t>La crescita</w:t>
      </w:r>
      <w:r w:rsidR="00332FF2">
        <w:t xml:space="preserve">, nel </w:t>
      </w:r>
      <w:r w:rsidR="0001400A">
        <w:t>decennio analizzato</w:t>
      </w:r>
      <w:r w:rsidR="00332FF2">
        <w:t>,</w:t>
      </w:r>
      <w:r w:rsidR="0001400A">
        <w:t xml:space="preserve"> </w:t>
      </w:r>
      <w:r w:rsidR="00332FF2">
        <w:t xml:space="preserve">riguarda </w:t>
      </w:r>
      <w:r>
        <w:t>in particolare i matrimoni interconfessionali</w:t>
      </w:r>
      <w:r w:rsidR="00387C1F">
        <w:t>,</w:t>
      </w:r>
      <w:r>
        <w:t xml:space="preserve"> </w:t>
      </w:r>
      <w:r w:rsidR="00332FF2">
        <w:t xml:space="preserve">i cui valori sono passati </w:t>
      </w:r>
      <w:r>
        <w:t xml:space="preserve">dal 4,40% del 1999 al 6,56% </w:t>
      </w:r>
      <w:r w:rsidR="00387C1F">
        <w:t>del 2008 e</w:t>
      </w:r>
      <w:r w:rsidR="00332FF2">
        <w:t xml:space="preserve">, ancor più, </w:t>
      </w:r>
      <w:r w:rsidR="00387C1F">
        <w:t>per quelli</w:t>
      </w:r>
      <w:r w:rsidR="002E29F8">
        <w:t xml:space="preserve"> “</w:t>
      </w:r>
      <w:r w:rsidR="00387C1F">
        <w:t>altr</w:t>
      </w:r>
      <w:r w:rsidR="002E29F8">
        <w:t>i”</w:t>
      </w:r>
      <w:r w:rsidR="00387C1F">
        <w:t xml:space="preserve">, con valori </w:t>
      </w:r>
      <w:r w:rsidR="00387C1F">
        <w:lastRenderedPageBreak/>
        <w:t xml:space="preserve">sul totale </w:t>
      </w:r>
      <w:r w:rsidR="00332FF2">
        <w:t xml:space="preserve">dal </w:t>
      </w:r>
      <w:r w:rsidR="00387C1F">
        <w:t xml:space="preserve">7,66 del 1999 al 12,18% del 2008, invariata (0,89%%) è stata la crescita di quelli interreligiosi, pari all’8% del totale. </w:t>
      </w:r>
    </w:p>
    <w:p w:rsidR="00875554" w:rsidRDefault="00875554" w:rsidP="00893B95"/>
    <w:p w:rsidR="00505D08" w:rsidRPr="00875554" w:rsidRDefault="00505D08" w:rsidP="00893B95">
      <w:pPr>
        <w:rPr>
          <w:b/>
        </w:rPr>
      </w:pPr>
      <w:r w:rsidRPr="00875554">
        <w:rPr>
          <w:b/>
        </w:rPr>
        <w:t xml:space="preserve">Tab. n.  5 , Tipologia dei matrimoni nel decennio 1999-2008. </w:t>
      </w:r>
    </w:p>
    <w:tbl>
      <w:tblPr>
        <w:tblW w:w="99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52"/>
        <w:gridCol w:w="969"/>
        <w:gridCol w:w="1174"/>
        <w:gridCol w:w="835"/>
        <w:gridCol w:w="1174"/>
        <w:gridCol w:w="969"/>
        <w:gridCol w:w="1174"/>
        <w:gridCol w:w="1194"/>
        <w:gridCol w:w="1399"/>
      </w:tblGrid>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p>
        </w:tc>
        <w:tc>
          <w:tcPr>
            <w:tcW w:w="2143" w:type="dxa"/>
            <w:gridSpan w:val="2"/>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Interconfessionale</w:t>
            </w:r>
          </w:p>
        </w:tc>
        <w:tc>
          <w:tcPr>
            <w:tcW w:w="2009" w:type="dxa"/>
            <w:gridSpan w:val="2"/>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Interreligioso</w:t>
            </w:r>
          </w:p>
        </w:tc>
        <w:tc>
          <w:tcPr>
            <w:tcW w:w="2143" w:type="dxa"/>
            <w:gridSpan w:val="2"/>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Altra Tipologia</w:t>
            </w:r>
          </w:p>
        </w:tc>
        <w:tc>
          <w:tcPr>
            <w:tcW w:w="2593" w:type="dxa"/>
            <w:gridSpan w:val="2"/>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Totale complessivo</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b/>
                <w:bCs/>
                <w:color w:val="000000"/>
                <w:lang w:eastAsia="ja-JP"/>
              </w:rPr>
            </w:pPr>
            <w:r w:rsidRPr="00505D08">
              <w:rPr>
                <w:rFonts w:eastAsia="Times New Roman"/>
                <w:b/>
                <w:bCs/>
                <w:color w:val="000000"/>
                <w:lang w:eastAsia="ja-JP"/>
              </w:rPr>
              <w:t>Anno</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V.A.</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V.A.</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V.A.</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V.A.</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1999</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478</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4.40%</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97</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0.89%</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257</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2.37%</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832</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7.66%</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2000</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568</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5.23%</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78</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0.72%</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296</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2.73%</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942</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8.68%</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2001</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581</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5.35%</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73</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0.67%</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301</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2.77%</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955</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8.80%</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2002</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579</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5.33%</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92</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0.85%</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314</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2.89%</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985</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9.07%</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2003</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610</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5.62%</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67</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0.62%</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326</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3.00%</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1003</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9.24%</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2004</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651</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6.00%</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98</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0.90%</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346</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3.19%</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1095</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10.08%</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2005</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720</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6.63%</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82</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0.76%</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385</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3.55%</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1187</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10.93%</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2006</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732</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6.74%</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69</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0.64%</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406</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3.74%</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1207</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11.12%</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2007</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770</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7.09%</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86</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0.79%</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474</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4.37%</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1330</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12.25%</w:t>
            </w:r>
          </w:p>
        </w:tc>
      </w:tr>
      <w:tr w:rsidR="00505D08" w:rsidRPr="00505D08" w:rsidTr="00505D08">
        <w:trPr>
          <w:trHeight w:val="300"/>
        </w:trPr>
        <w:tc>
          <w:tcPr>
            <w:tcW w:w="1052" w:type="dxa"/>
            <w:shd w:val="clear" w:color="auto" w:fill="auto"/>
            <w:noWrap/>
            <w:vAlign w:val="center"/>
            <w:hideMark/>
          </w:tcPr>
          <w:p w:rsidR="00505D08" w:rsidRPr="00505D08" w:rsidRDefault="00505D08" w:rsidP="00505D08">
            <w:pPr>
              <w:spacing w:line="240" w:lineRule="auto"/>
              <w:rPr>
                <w:rFonts w:eastAsia="Times New Roman"/>
                <w:color w:val="000000"/>
                <w:lang w:eastAsia="ja-JP"/>
              </w:rPr>
            </w:pPr>
            <w:r w:rsidRPr="00505D08">
              <w:rPr>
                <w:rFonts w:eastAsia="Times New Roman"/>
                <w:color w:val="000000"/>
                <w:lang w:eastAsia="ja-JP"/>
              </w:rPr>
              <w:t>2008</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712</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6.56%</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97</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0.89%</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513</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4.72%</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1322</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color w:val="000000"/>
                <w:lang w:eastAsia="ja-JP"/>
              </w:rPr>
            </w:pPr>
            <w:r w:rsidRPr="00505D08">
              <w:rPr>
                <w:rFonts w:eastAsia="Times New Roman"/>
                <w:color w:val="000000"/>
                <w:lang w:eastAsia="ja-JP"/>
              </w:rPr>
              <w:t>12.18%</w:t>
            </w:r>
          </w:p>
        </w:tc>
      </w:tr>
      <w:tr w:rsidR="00505D08" w:rsidRPr="00505D08" w:rsidTr="00505D08">
        <w:trPr>
          <w:trHeight w:val="315"/>
        </w:trPr>
        <w:tc>
          <w:tcPr>
            <w:tcW w:w="1052" w:type="dxa"/>
            <w:shd w:val="clear" w:color="auto" w:fill="auto"/>
            <w:noWrap/>
            <w:vAlign w:val="center"/>
            <w:hideMark/>
          </w:tcPr>
          <w:p w:rsidR="00505D08" w:rsidRPr="00505D08" w:rsidRDefault="00505D08" w:rsidP="00505D08">
            <w:pPr>
              <w:spacing w:line="240" w:lineRule="auto"/>
              <w:rPr>
                <w:rFonts w:eastAsia="Times New Roman"/>
                <w:b/>
                <w:bCs/>
                <w:color w:val="000000"/>
                <w:lang w:eastAsia="ja-JP"/>
              </w:rPr>
            </w:pPr>
            <w:r w:rsidRPr="00505D08">
              <w:rPr>
                <w:rFonts w:eastAsia="Times New Roman"/>
                <w:b/>
                <w:bCs/>
                <w:color w:val="000000"/>
                <w:lang w:eastAsia="ja-JP"/>
              </w:rPr>
              <w:t>TOT</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6401</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59%</w:t>
            </w:r>
          </w:p>
        </w:tc>
        <w:tc>
          <w:tcPr>
            <w:tcW w:w="835"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839</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8%</w:t>
            </w:r>
          </w:p>
        </w:tc>
        <w:tc>
          <w:tcPr>
            <w:tcW w:w="96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3618</w:t>
            </w:r>
          </w:p>
        </w:tc>
        <w:tc>
          <w:tcPr>
            <w:tcW w:w="117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33%</w:t>
            </w:r>
          </w:p>
        </w:tc>
        <w:tc>
          <w:tcPr>
            <w:tcW w:w="1194"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10858</w:t>
            </w:r>
          </w:p>
        </w:tc>
        <w:tc>
          <w:tcPr>
            <w:tcW w:w="1399" w:type="dxa"/>
            <w:shd w:val="clear" w:color="auto" w:fill="auto"/>
            <w:noWrap/>
            <w:vAlign w:val="center"/>
            <w:hideMark/>
          </w:tcPr>
          <w:p w:rsidR="00505D08" w:rsidRPr="00505D08" w:rsidRDefault="00505D08" w:rsidP="00505D08">
            <w:pPr>
              <w:spacing w:line="240" w:lineRule="auto"/>
              <w:jc w:val="center"/>
              <w:rPr>
                <w:rFonts w:eastAsia="Times New Roman"/>
                <w:b/>
                <w:bCs/>
                <w:color w:val="000000"/>
                <w:lang w:eastAsia="ja-JP"/>
              </w:rPr>
            </w:pPr>
            <w:r w:rsidRPr="00505D08">
              <w:rPr>
                <w:rFonts w:eastAsia="Times New Roman"/>
                <w:b/>
                <w:bCs/>
                <w:color w:val="000000"/>
                <w:lang w:eastAsia="ja-JP"/>
              </w:rPr>
              <w:t>100%</w:t>
            </w:r>
          </w:p>
        </w:tc>
      </w:tr>
    </w:tbl>
    <w:p w:rsidR="00D74FBE" w:rsidRDefault="00D74FBE" w:rsidP="003227E1">
      <w:pPr>
        <w:rPr>
          <w:sz w:val="28"/>
          <w:szCs w:val="28"/>
        </w:rPr>
      </w:pPr>
    </w:p>
    <w:p w:rsidR="0035137A" w:rsidRDefault="0035137A" w:rsidP="00893B95">
      <w:r w:rsidRPr="0035137A">
        <w:t>Da questo momento, nella mia relazione procederò</w:t>
      </w:r>
      <w:r w:rsidR="00856943">
        <w:t xml:space="preserve"> nell’ordine: </w:t>
      </w:r>
      <w:r w:rsidRPr="0035137A">
        <w:t>dai matrimoni interconfessionali, interreligiosi e altri.</w:t>
      </w:r>
      <w:r w:rsidRPr="006246B3">
        <w:t xml:space="preserve"> </w:t>
      </w:r>
    </w:p>
    <w:p w:rsidR="00FA2035" w:rsidRDefault="00FA2035" w:rsidP="00893B95"/>
    <w:p w:rsidR="00EF1E92" w:rsidRPr="000654A8" w:rsidRDefault="00EF1E92" w:rsidP="00893B95">
      <w:pPr>
        <w:pStyle w:val="Titolo1"/>
        <w:numPr>
          <w:ilvl w:val="0"/>
          <w:numId w:val="22"/>
        </w:numPr>
      </w:pPr>
      <w:r w:rsidRPr="000654A8">
        <w:t xml:space="preserve">Matrimoni interconfessionali  </w:t>
      </w:r>
    </w:p>
    <w:p w:rsidR="00166486" w:rsidRDefault="00EF1E92" w:rsidP="00893B95">
      <w:r w:rsidRPr="001E460C">
        <w:t xml:space="preserve">Si indicano in questo modo le richieste di </w:t>
      </w:r>
      <w:r>
        <w:t xml:space="preserve">licenza </w:t>
      </w:r>
      <w:r w:rsidRPr="001E460C">
        <w:t xml:space="preserve">per matrimoni con </w:t>
      </w:r>
      <w:r>
        <w:t xml:space="preserve">appartenenti alla stessa confessione cristiana. </w:t>
      </w:r>
    </w:p>
    <w:p w:rsidR="00B96BC0" w:rsidRDefault="00EF1E92" w:rsidP="00883EBA">
      <w:r>
        <w:t xml:space="preserve">La prima evidenza da segnalare è che nel totale le richieste di dispensa sono 6401 di cui 4275 con donne e 2126 con uomini. </w:t>
      </w:r>
      <w:r w:rsidR="00B96BC0">
        <w:t xml:space="preserve">Rispetto alle zone geografiche, la maggior (51%) parte dei matrimoni interconfessionali si concentra al Centro, il 21% nel Nord Est e il 15% nel Nord Ovest, il 6% nelle Isole e il 7% nel Sud. </w:t>
      </w:r>
    </w:p>
    <w:p w:rsidR="00883EBA" w:rsidRPr="00893B95" w:rsidRDefault="00883EBA" w:rsidP="00883EBA">
      <w:pPr>
        <w:rPr>
          <w:lang w:eastAsia="it-IT"/>
        </w:rPr>
      </w:pPr>
      <w:r w:rsidRPr="006E3E32">
        <w:rPr>
          <w:lang w:eastAsia="it-IT"/>
        </w:rPr>
        <w:t>Considerando la diocesi come variabile indipendente</w:t>
      </w:r>
      <w:r>
        <w:rPr>
          <w:lang w:eastAsia="it-IT"/>
        </w:rPr>
        <w:t xml:space="preserve">, si evince che la maggiore quantità di </w:t>
      </w:r>
      <w:r w:rsidRPr="00F3701D">
        <w:rPr>
          <w:lang w:eastAsia="it-IT"/>
        </w:rPr>
        <w:t>matrimoni interconfessionali</w:t>
      </w:r>
      <w:r>
        <w:rPr>
          <w:lang w:eastAsia="it-IT"/>
        </w:rPr>
        <w:t xml:space="preserve"> si celebrano a: </w:t>
      </w:r>
      <w:r w:rsidRPr="00F3701D">
        <w:rPr>
          <w:lang w:eastAsia="it-IT"/>
        </w:rPr>
        <w:t xml:space="preserve">Roma (25%- 1575), Firenze (5%-338), Bergamo (4%- 232), Bologna (4%- 217), Bolzano-Bressanone (4%- 447), Pinerolo (3% - 192), Venezia (2%- 159), Genova (2%- 128), Sabina- Poggio Mirteto (2%- 105), Rimini (2%- 107), Reggio Emilia -Guastalla (2%-106), Porto- Santa Rufina (2%-130), Pisa (2%- 97). </w:t>
      </w:r>
    </w:p>
    <w:p w:rsidR="00EF1E92" w:rsidRPr="00875554" w:rsidRDefault="00EF1E92" w:rsidP="00893B95">
      <w:pPr>
        <w:rPr>
          <w:b/>
        </w:rPr>
      </w:pPr>
      <w:proofErr w:type="spellStart"/>
      <w:r w:rsidRPr="00875554">
        <w:rPr>
          <w:b/>
        </w:rPr>
        <w:t>Tab</w:t>
      </w:r>
      <w:proofErr w:type="spellEnd"/>
      <w:r w:rsidRPr="00875554">
        <w:rPr>
          <w:b/>
        </w:rPr>
        <w:t xml:space="preserve">. </w:t>
      </w:r>
      <w:r w:rsidR="00D56C27" w:rsidRPr="00875554">
        <w:rPr>
          <w:b/>
        </w:rPr>
        <w:t xml:space="preserve">6. </w:t>
      </w:r>
      <w:r w:rsidR="00BB788A" w:rsidRPr="00875554">
        <w:rPr>
          <w:b/>
        </w:rPr>
        <w:t>Totale dei m</w:t>
      </w:r>
      <w:r w:rsidRPr="00875554">
        <w:rPr>
          <w:b/>
        </w:rPr>
        <w:t xml:space="preserve">atrimoni interconfessionali dal 1999 al 2008 </w:t>
      </w:r>
      <w:r w:rsidR="009322B6">
        <w:rPr>
          <w:b/>
        </w:rPr>
        <w:t>per c</w:t>
      </w:r>
      <w:r w:rsidR="00BB788A" w:rsidRPr="00875554">
        <w:rPr>
          <w:b/>
        </w:rPr>
        <w:t xml:space="preserve">onfessione e </w:t>
      </w:r>
      <w:r w:rsidR="00754598" w:rsidRPr="00875554">
        <w:rPr>
          <w:b/>
        </w:rPr>
        <w:t>genere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7"/>
        <w:gridCol w:w="992"/>
        <w:gridCol w:w="1357"/>
        <w:gridCol w:w="991"/>
        <w:gridCol w:w="1357"/>
        <w:gridCol w:w="991"/>
        <w:gridCol w:w="1353"/>
      </w:tblGrid>
      <w:tr w:rsidR="00EF1E92" w:rsidRPr="005A781C" w:rsidTr="00875554">
        <w:trPr>
          <w:cantSplit/>
          <w:trHeight w:val="20"/>
          <w:jc w:val="center"/>
        </w:trPr>
        <w:tc>
          <w:tcPr>
            <w:tcW w:w="1399"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lastRenderedPageBreak/>
              <w:t> </w:t>
            </w:r>
          </w:p>
        </w:tc>
        <w:tc>
          <w:tcPr>
            <w:tcW w:w="3601" w:type="pct"/>
            <w:gridSpan w:val="6"/>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TOT Complessivo</w:t>
            </w:r>
          </w:p>
        </w:tc>
      </w:tr>
      <w:tr w:rsidR="00EF1E92" w:rsidRPr="005A781C" w:rsidTr="00875554">
        <w:trPr>
          <w:cantSplit/>
          <w:trHeight w:val="20"/>
          <w:jc w:val="center"/>
        </w:trPr>
        <w:tc>
          <w:tcPr>
            <w:tcW w:w="1399" w:type="pct"/>
            <w:shd w:val="clear" w:color="auto" w:fill="auto"/>
            <w:vAlign w:val="center"/>
            <w:hideMark/>
          </w:tcPr>
          <w:p w:rsidR="00EF1E92" w:rsidRPr="005A781C" w:rsidRDefault="006B5B25" w:rsidP="006B5B25">
            <w:pPr>
              <w:jc w:val="center"/>
              <w:rPr>
                <w:rFonts w:ascii="Arial" w:eastAsia="Times New Roman" w:hAnsi="Arial" w:cs="Arial"/>
                <w:b/>
                <w:bCs/>
                <w:sz w:val="20"/>
                <w:szCs w:val="20"/>
                <w:lang w:eastAsia="ja-JP"/>
              </w:rPr>
            </w:pPr>
            <w:r>
              <w:rPr>
                <w:rFonts w:ascii="Arial" w:eastAsia="Times New Roman" w:hAnsi="Arial" w:cs="Arial"/>
                <w:b/>
                <w:bCs/>
                <w:sz w:val="20"/>
                <w:szCs w:val="20"/>
                <w:lang w:eastAsia="ja-JP"/>
              </w:rPr>
              <w:t xml:space="preserve">Chiese cristiane </w:t>
            </w:r>
          </w:p>
        </w:tc>
        <w:tc>
          <w:tcPr>
            <w:tcW w:w="1201" w:type="pct"/>
            <w:gridSpan w:val="2"/>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F</w:t>
            </w:r>
          </w:p>
        </w:tc>
        <w:tc>
          <w:tcPr>
            <w:tcW w:w="1201" w:type="pct"/>
            <w:gridSpan w:val="2"/>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M</w:t>
            </w:r>
          </w:p>
        </w:tc>
        <w:tc>
          <w:tcPr>
            <w:tcW w:w="1200" w:type="pct"/>
            <w:gridSpan w:val="2"/>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Totale</w:t>
            </w:r>
          </w:p>
        </w:tc>
      </w:tr>
      <w:tr w:rsidR="00EF1E92" w:rsidRPr="005A781C" w:rsidTr="00875554">
        <w:trPr>
          <w:cantSplit/>
          <w:trHeight w:val="20"/>
          <w:jc w:val="center"/>
        </w:trPr>
        <w:tc>
          <w:tcPr>
            <w:tcW w:w="1399" w:type="pct"/>
            <w:shd w:val="clear" w:color="auto" w:fill="auto"/>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 </w:t>
            </w:r>
          </w:p>
        </w:tc>
        <w:tc>
          <w:tcPr>
            <w:tcW w:w="507"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V.A.</w:t>
            </w:r>
          </w:p>
        </w:tc>
        <w:tc>
          <w:tcPr>
            <w:tcW w:w="694"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w:t>
            </w:r>
          </w:p>
        </w:tc>
        <w:tc>
          <w:tcPr>
            <w:tcW w:w="507"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V.A.</w:t>
            </w:r>
          </w:p>
        </w:tc>
        <w:tc>
          <w:tcPr>
            <w:tcW w:w="694"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w:t>
            </w:r>
          </w:p>
        </w:tc>
        <w:tc>
          <w:tcPr>
            <w:tcW w:w="507"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V.A.</w:t>
            </w:r>
          </w:p>
        </w:tc>
        <w:tc>
          <w:tcPr>
            <w:tcW w:w="693" w:type="pct"/>
            <w:shd w:val="clear" w:color="auto" w:fill="auto"/>
            <w:noWrap/>
            <w:vAlign w:val="center"/>
            <w:hideMark/>
          </w:tcPr>
          <w:p w:rsidR="00EF1E92" w:rsidRPr="005A781C" w:rsidRDefault="00EF1E92" w:rsidP="00BB4861">
            <w:pPr>
              <w:jc w:val="center"/>
              <w:rPr>
                <w:rFonts w:ascii="Arial" w:eastAsia="Times New Roman" w:hAnsi="Arial" w:cs="Arial"/>
                <w:b/>
                <w:bCs/>
                <w:sz w:val="20"/>
                <w:szCs w:val="20"/>
                <w:lang w:eastAsia="ja-JP"/>
              </w:rPr>
            </w:pPr>
            <w:r w:rsidRPr="005A781C">
              <w:rPr>
                <w:rFonts w:ascii="Arial" w:eastAsia="Times New Roman" w:hAnsi="Arial" w:cs="Arial"/>
                <w:b/>
                <w:bCs/>
                <w:sz w:val="20"/>
                <w:szCs w:val="20"/>
                <w:lang w:eastAsia="ja-JP"/>
              </w:rPr>
              <w:t>%</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 xml:space="preserve">Altre denominazioni </w:t>
            </w:r>
            <w:r w:rsidRPr="006B5B25">
              <w:rPr>
                <w:rFonts w:eastAsia="Times New Roman"/>
                <w:szCs w:val="24"/>
                <w:vertAlign w:val="superscript"/>
                <w:lang w:eastAsia="ja-JP"/>
              </w:rPr>
              <w:t>*1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325</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7.60%</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324</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15.24%</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649</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10.14%</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Chiesa Luterana</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569</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13.31%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487</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22.91%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1056</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16.50%</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6B5B25">
            <w:pPr>
              <w:rPr>
                <w:rFonts w:eastAsia="Times New Roman"/>
                <w:szCs w:val="24"/>
                <w:lang w:eastAsia="ja-JP"/>
              </w:rPr>
            </w:pPr>
            <w:r w:rsidRPr="006B5B25">
              <w:rPr>
                <w:rFonts w:eastAsia="Times New Roman"/>
                <w:szCs w:val="24"/>
                <w:lang w:eastAsia="ja-JP"/>
              </w:rPr>
              <w:t xml:space="preserve">Chiesa </w:t>
            </w:r>
            <w:proofErr w:type="spellStart"/>
            <w:r w:rsidRPr="006B5B25">
              <w:rPr>
                <w:rFonts w:eastAsia="Times New Roman"/>
                <w:szCs w:val="24"/>
                <w:lang w:eastAsia="ja-JP"/>
              </w:rPr>
              <w:t>Valdesee</w:t>
            </w:r>
            <w:proofErr w:type="spellEnd"/>
            <w:r w:rsidRPr="006B5B25">
              <w:rPr>
                <w:rFonts w:eastAsia="Times New Roman"/>
                <w:szCs w:val="24"/>
                <w:lang w:eastAsia="ja-JP"/>
              </w:rPr>
              <w:t xml:space="preserve"> Metodista</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163</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3.81%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149</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7.01%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312</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4.87%</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Chiese Pentecostali</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34</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0.80%</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28</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1.32%</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62</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0.97%</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Chiese Battiste</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58</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1.36%</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79</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3.72%</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137</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2.14%</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Anglicani</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267</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6.25%</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438</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20.60%</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705</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11.01%</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875554">
            <w:pPr>
              <w:rPr>
                <w:rFonts w:eastAsia="Times New Roman"/>
                <w:szCs w:val="24"/>
                <w:lang w:eastAsia="ja-JP"/>
              </w:rPr>
            </w:pPr>
            <w:r w:rsidRPr="006B5B25">
              <w:rPr>
                <w:rFonts w:eastAsia="Times New Roman"/>
                <w:szCs w:val="24"/>
                <w:lang w:eastAsia="ja-JP"/>
              </w:rPr>
              <w:t>Chiese ortodosse</w:t>
            </w:r>
            <w:r w:rsidR="00875554" w:rsidRPr="006B5B25">
              <w:rPr>
                <w:rFonts w:eastAsia="Times New Roman"/>
                <w:szCs w:val="24"/>
                <w:lang w:eastAsia="ja-JP"/>
              </w:rPr>
              <w:t xml:space="preserve"> </w:t>
            </w:r>
            <w:r w:rsidRPr="006B5B25">
              <w:rPr>
                <w:rFonts w:eastAsia="Times New Roman"/>
                <w:szCs w:val="24"/>
                <w:lang w:eastAsia="ja-JP"/>
              </w:rPr>
              <w:t>/</w:t>
            </w:r>
            <w:r w:rsidR="00875554" w:rsidRPr="006B5B25">
              <w:rPr>
                <w:rFonts w:eastAsia="Times New Roman"/>
                <w:szCs w:val="24"/>
                <w:lang w:eastAsia="ja-JP"/>
              </w:rPr>
              <w:t xml:space="preserve"> </w:t>
            </w:r>
            <w:r w:rsidRPr="006B5B25">
              <w:rPr>
                <w:rFonts w:eastAsia="Times New Roman"/>
                <w:szCs w:val="24"/>
                <w:lang w:eastAsia="ja-JP"/>
              </w:rPr>
              <w:t>Chiese antico orientali</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2705</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63.27%</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505</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23.75%</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3210</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50.15%</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Mormoni</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0.07%</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0.61%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16</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0.25%</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Testimoni di Geova</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0.30%</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17</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0.80%</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30</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0.47%</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 xml:space="preserve">Altri Movimenti </w:t>
            </w:r>
            <w:r w:rsidRPr="006B5B25">
              <w:rPr>
                <w:rFonts w:eastAsia="Times New Roman"/>
                <w:szCs w:val="24"/>
                <w:vertAlign w:val="superscript"/>
                <w:lang w:eastAsia="ja-JP"/>
              </w:rPr>
              <w:t>*2</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73</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1.71%</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21</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0.99%</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94</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1.47%</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szCs w:val="24"/>
                <w:lang w:eastAsia="ja-JP"/>
              </w:rPr>
            </w:pPr>
            <w:r w:rsidRPr="006B5B25">
              <w:rPr>
                <w:rFonts w:eastAsia="Times New Roman"/>
                <w:szCs w:val="24"/>
                <w:lang w:eastAsia="ja-JP"/>
              </w:rPr>
              <w:t xml:space="preserve">Altro </w:t>
            </w:r>
            <w:r w:rsidRPr="006B5B25">
              <w:rPr>
                <w:rFonts w:eastAsia="Times New Roman"/>
                <w:szCs w:val="24"/>
                <w:vertAlign w:val="superscript"/>
                <w:lang w:eastAsia="ja-JP"/>
              </w:rPr>
              <w:t>*3</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65</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1.52%</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65</w:t>
            </w:r>
          </w:p>
        </w:tc>
        <w:tc>
          <w:tcPr>
            <w:tcW w:w="694"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3.06%</w:t>
            </w:r>
          </w:p>
        </w:tc>
        <w:tc>
          <w:tcPr>
            <w:tcW w:w="507"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130</w:t>
            </w:r>
          </w:p>
        </w:tc>
        <w:tc>
          <w:tcPr>
            <w:tcW w:w="693" w:type="pct"/>
            <w:shd w:val="clear" w:color="auto" w:fill="auto"/>
            <w:noWrap/>
            <w:vAlign w:val="center"/>
            <w:hideMark/>
          </w:tcPr>
          <w:p w:rsidR="00EF1E92" w:rsidRPr="005A781C" w:rsidRDefault="00EF1E92" w:rsidP="00BB4861">
            <w:pPr>
              <w:jc w:val="center"/>
              <w:rPr>
                <w:rFonts w:eastAsia="Times New Roman"/>
                <w:lang w:eastAsia="ja-JP"/>
              </w:rPr>
            </w:pPr>
            <w:r w:rsidRPr="005A781C">
              <w:rPr>
                <w:rFonts w:eastAsia="Times New Roman"/>
                <w:lang w:eastAsia="ja-JP"/>
              </w:rPr>
              <w:t>2.03%</w:t>
            </w:r>
          </w:p>
        </w:tc>
      </w:tr>
      <w:tr w:rsidR="00EF1E92" w:rsidRPr="005A781C" w:rsidTr="00875554">
        <w:trPr>
          <w:cantSplit/>
          <w:trHeight w:val="20"/>
          <w:jc w:val="center"/>
        </w:trPr>
        <w:tc>
          <w:tcPr>
            <w:tcW w:w="1399" w:type="pct"/>
            <w:shd w:val="clear" w:color="auto" w:fill="auto"/>
            <w:vAlign w:val="center"/>
            <w:hideMark/>
          </w:tcPr>
          <w:p w:rsidR="00EF1E92" w:rsidRPr="006B5B25" w:rsidRDefault="00EF1E92" w:rsidP="00BB4861">
            <w:pPr>
              <w:rPr>
                <w:rFonts w:eastAsia="Times New Roman"/>
                <w:b/>
                <w:bCs/>
                <w:szCs w:val="24"/>
                <w:lang w:eastAsia="ja-JP"/>
              </w:rPr>
            </w:pPr>
            <w:r w:rsidRPr="006B5B25">
              <w:rPr>
                <w:rFonts w:eastAsia="Times New Roman"/>
                <w:b/>
                <w:bCs/>
                <w:szCs w:val="24"/>
                <w:lang w:eastAsia="ja-JP"/>
              </w:rPr>
              <w:t>Totale complessivo</w:t>
            </w:r>
          </w:p>
        </w:tc>
        <w:tc>
          <w:tcPr>
            <w:tcW w:w="507"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4275</w:t>
            </w:r>
          </w:p>
        </w:tc>
        <w:tc>
          <w:tcPr>
            <w:tcW w:w="694"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100%</w:t>
            </w:r>
          </w:p>
        </w:tc>
        <w:tc>
          <w:tcPr>
            <w:tcW w:w="507"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2126</w:t>
            </w:r>
          </w:p>
        </w:tc>
        <w:tc>
          <w:tcPr>
            <w:tcW w:w="694"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100%</w:t>
            </w:r>
          </w:p>
        </w:tc>
        <w:tc>
          <w:tcPr>
            <w:tcW w:w="507"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6401</w:t>
            </w:r>
          </w:p>
        </w:tc>
        <w:tc>
          <w:tcPr>
            <w:tcW w:w="693" w:type="pct"/>
            <w:shd w:val="clear" w:color="auto" w:fill="auto"/>
            <w:noWrap/>
            <w:vAlign w:val="center"/>
            <w:hideMark/>
          </w:tcPr>
          <w:p w:rsidR="00EF1E92" w:rsidRPr="005A781C" w:rsidRDefault="00EF1E92" w:rsidP="00BB4861">
            <w:pPr>
              <w:jc w:val="center"/>
              <w:rPr>
                <w:rFonts w:eastAsia="Times New Roman"/>
                <w:b/>
                <w:bCs/>
                <w:lang w:eastAsia="ja-JP"/>
              </w:rPr>
            </w:pPr>
            <w:r w:rsidRPr="005A781C">
              <w:rPr>
                <w:rFonts w:eastAsia="Times New Roman"/>
                <w:b/>
                <w:bCs/>
                <w:lang w:eastAsia="ja-JP"/>
              </w:rPr>
              <w:t>100%</w:t>
            </w:r>
          </w:p>
        </w:tc>
      </w:tr>
    </w:tbl>
    <w:p w:rsidR="00EF1E92" w:rsidRPr="00724B3C" w:rsidRDefault="00EF1E92" w:rsidP="00EF1E92">
      <w:pPr>
        <w:rPr>
          <w:sz w:val="20"/>
          <w:szCs w:val="20"/>
        </w:rPr>
      </w:pPr>
      <w:r w:rsidRPr="00C841D4">
        <w:rPr>
          <w:b/>
          <w:sz w:val="22"/>
        </w:rPr>
        <w:t>*</w:t>
      </w:r>
      <w:r w:rsidRPr="00724B3C">
        <w:rPr>
          <w:b/>
          <w:sz w:val="20"/>
          <w:szCs w:val="20"/>
        </w:rPr>
        <w:t>1</w:t>
      </w:r>
      <w:r w:rsidRPr="00724B3C">
        <w:rPr>
          <w:sz w:val="20"/>
          <w:szCs w:val="20"/>
        </w:rPr>
        <w:t>: in questa categoria sono inserite tutte le risposte di coloro che si sono definiti semplicemente "evangelici"</w:t>
      </w:r>
    </w:p>
    <w:p w:rsidR="00EF1E92" w:rsidRPr="00724B3C" w:rsidRDefault="00EF1E92" w:rsidP="00EF1E92">
      <w:pPr>
        <w:rPr>
          <w:sz w:val="20"/>
          <w:szCs w:val="20"/>
        </w:rPr>
      </w:pPr>
      <w:r w:rsidRPr="00724B3C">
        <w:rPr>
          <w:b/>
          <w:sz w:val="20"/>
          <w:szCs w:val="20"/>
        </w:rPr>
        <w:t>*2</w:t>
      </w:r>
      <w:r w:rsidRPr="00724B3C">
        <w:rPr>
          <w:sz w:val="20"/>
          <w:szCs w:val="20"/>
        </w:rPr>
        <w:t>: in questa categoria sono inserite tutte le risposte di coloro che si sono definiti appartenenti ad un "altro movimento occidentale di matrice cristiana"</w:t>
      </w:r>
    </w:p>
    <w:p w:rsidR="00EF1E92" w:rsidRPr="00724B3C" w:rsidRDefault="00EF1E92" w:rsidP="005A781C">
      <w:pPr>
        <w:rPr>
          <w:sz w:val="20"/>
          <w:szCs w:val="20"/>
        </w:rPr>
      </w:pPr>
      <w:r w:rsidRPr="00724B3C">
        <w:rPr>
          <w:b/>
          <w:sz w:val="20"/>
          <w:szCs w:val="20"/>
        </w:rPr>
        <w:t>*3</w:t>
      </w:r>
      <w:r w:rsidRPr="00724B3C">
        <w:rPr>
          <w:sz w:val="20"/>
          <w:szCs w:val="20"/>
        </w:rPr>
        <w:t>: in questa categoria sono inserite tutte le risposte di coloro che si sono definiti "cristiani"</w:t>
      </w:r>
    </w:p>
    <w:p w:rsidR="00D402F9" w:rsidRDefault="00891A7D" w:rsidP="00D402F9">
      <w:r>
        <w:t>L</w:t>
      </w:r>
      <w:r w:rsidR="00D402F9">
        <w:t xml:space="preserve">a nazione prevalente da cui provengono gli sposi di altra confessione è la Romania con 1620 (25%) richieste, con una netta prevalenza di donne (32%). Tra le altre nazioni che hanno una certa visibilità si registrano, in ordine di numerosità, il Regno Unito (11%), la Germania (10%), l’Italia (8%), la Russia (6%), gli Stati Uniti (5%), l’Ucraina (4%) e la Moldavia (3%).      </w:t>
      </w:r>
    </w:p>
    <w:p w:rsidR="00D402F9" w:rsidRDefault="00D402F9" w:rsidP="00D402F9">
      <w:r>
        <w:t>Nei dati complessivi, come si evidenzia nella tabella riassuntiva relativa agli anni 1999-2008, la percentuale più elevata è quella relativa alle richieste di dispense per matrimoni con ortodossi (50%), appartenenti alla Chiesa Luterana (17%), Anglicani (111%), altre denominazioni (10%), Chiesa Valdese e Metodista (5%) e Chiese Battiste (2%). Analizzando l’andamento delle richieste di dispense nei singoli anni, dal 1999 al 2008 si conferma la medesima graduatoria.</w:t>
      </w:r>
    </w:p>
    <w:p w:rsidR="00AF325F" w:rsidRDefault="00AF325F" w:rsidP="00AF325F">
      <w:r>
        <w:t>Relativamente alle diocesi, la totalità (6313) dei matrimoni “interconfessionali” sono stati celebrati prevalentemente nelle diocesi di</w:t>
      </w:r>
      <w:r w:rsidR="004E6F25">
        <w:t>:</w:t>
      </w:r>
      <w:r>
        <w:t xml:space="preserve"> Roma 25% (1575), Firenze 5% (338), Bolzano- Bressanone 5% </w:t>
      </w:r>
      <w:r>
        <w:lastRenderedPageBreak/>
        <w:t>(286), Bergamo 4% (232), Bologna 3% (217), Vicenza 3% (216), Venezia 3% (219), Como 2% (256) e di Porto S. Rufina 2% (130)</w:t>
      </w:r>
      <w:r w:rsidRPr="00055F28">
        <w:rPr>
          <w:rStyle w:val="Rimandonotaapidipagina"/>
          <w:sz w:val="20"/>
          <w:szCs w:val="20"/>
        </w:rPr>
        <w:footnoteReference w:id="4"/>
      </w:r>
      <w:r w:rsidRPr="00055F28">
        <w:rPr>
          <w:sz w:val="20"/>
          <w:szCs w:val="20"/>
        </w:rPr>
        <w:t>.</w:t>
      </w:r>
      <w:r>
        <w:t xml:space="preserve">   </w:t>
      </w:r>
    </w:p>
    <w:p w:rsidR="00EF1E92" w:rsidRPr="00893B95" w:rsidRDefault="00893B95" w:rsidP="00893B95">
      <w:pPr>
        <w:pStyle w:val="Titolo2"/>
      </w:pPr>
      <w:r>
        <w:t xml:space="preserve">4.1 </w:t>
      </w:r>
      <w:r w:rsidR="00EF1E92" w:rsidRPr="00893B95">
        <w:t>Matrimoni con gli ortodossi</w:t>
      </w:r>
    </w:p>
    <w:p w:rsidR="00EF1E92" w:rsidRDefault="00EF1E92" w:rsidP="00893B95">
      <w:r>
        <w:t xml:space="preserve">Il dato che emerge in maniera significativa, come ci si aspettava, tra i matrimoni all’interno della stessa religione cristiana, è costituito dal numero rilevante di richiesta di dispense per matrimoni con ortodossi che, nel totale </w:t>
      </w:r>
      <w:r w:rsidRPr="000936F6">
        <w:t>sono 3.210</w:t>
      </w:r>
      <w:r>
        <w:t>, cioè il 50% dei matrimoni interconfessionali</w:t>
      </w:r>
      <w:r w:rsidRPr="000936F6">
        <w:t>.</w:t>
      </w:r>
      <w:r>
        <w:t xml:space="preserve">  </w:t>
      </w:r>
    </w:p>
    <w:p w:rsidR="00EF1E92" w:rsidRDefault="00EF1E92" w:rsidP="00893B95">
      <w:r>
        <w:t xml:space="preserve">È </w:t>
      </w:r>
      <w:r w:rsidR="00B2561D">
        <w:t>visibile l</w:t>
      </w:r>
      <w:r>
        <w:t xml:space="preserve">’incremento delle richieste nell’ambito dell’ultimo decennio 1999-2008, </w:t>
      </w:r>
      <w:r w:rsidR="006B5B25">
        <w:t xml:space="preserve">che è </w:t>
      </w:r>
      <w:r>
        <w:t>passa</w:t>
      </w:r>
      <w:r w:rsidR="006B5B25">
        <w:t xml:space="preserve">to dalla </w:t>
      </w:r>
      <w:r>
        <w:t xml:space="preserve">percentuale complessiva (femmine e maschi) del 34% del 1999 a quasi il doppio (60% ) del 2008. </w:t>
      </w:r>
    </w:p>
    <w:p w:rsidR="00EF1E92" w:rsidRDefault="00EF1E92" w:rsidP="00893B95">
      <w:r>
        <w:t xml:space="preserve">Prosegue, rispetto alla precedente rilevazione, l’aumento di richieste di dispense con donne (2.705, pari al 63%) rispetto a quelle con uomini (505, pari al 24%). </w:t>
      </w:r>
    </w:p>
    <w:p w:rsidR="00883EBA" w:rsidRDefault="00EF1E92" w:rsidP="00893B95">
      <w:r>
        <w:t>In particolare aumentano i matrimoni con donne provenienti dai paesi dell’est Europa, Romania (49%), Russia (14%), Ucraina (9%) e Moldavia (8%).</w:t>
      </w:r>
      <w:r w:rsidR="00494593">
        <w:rPr>
          <w:rStyle w:val="Rimandonotaapidipagina"/>
          <w:sz w:val="28"/>
          <w:szCs w:val="28"/>
        </w:rPr>
        <w:footnoteReference w:id="5"/>
      </w:r>
      <w:r>
        <w:t xml:space="preserve"> Sono numerosi anche e solamente i matrimoni con uomini ortodossi di nazionalità rumena (47%), come evidenzia dalla tabella</w:t>
      </w:r>
      <w:r w:rsidR="00B2561D">
        <w:t xml:space="preserve"> n. 7. </w:t>
      </w:r>
    </w:p>
    <w:p w:rsidR="00724B3C" w:rsidRDefault="00724B3C" w:rsidP="00893B95">
      <w:pPr>
        <w:rPr>
          <w:b/>
        </w:rPr>
      </w:pPr>
    </w:p>
    <w:p w:rsidR="00EF1E92" w:rsidRDefault="00A1001E" w:rsidP="00893B95">
      <w:proofErr w:type="spellStart"/>
      <w:r w:rsidRPr="00875554">
        <w:rPr>
          <w:b/>
        </w:rPr>
        <w:t>Tab</w:t>
      </w:r>
      <w:proofErr w:type="spellEnd"/>
      <w:r w:rsidRPr="00875554">
        <w:rPr>
          <w:b/>
        </w:rPr>
        <w:t>. n. 7. Totale dei matrimoni con gli ortodossi</w:t>
      </w:r>
      <w:r w:rsidR="00084E13">
        <w:rPr>
          <w:b/>
        </w:rPr>
        <w:t xml:space="preserve"> per</w:t>
      </w:r>
      <w:r w:rsidRPr="00875554">
        <w:rPr>
          <w:b/>
        </w:rPr>
        <w:t xml:space="preserve"> nazionalità e </w:t>
      </w:r>
      <w:r w:rsidR="00754598" w:rsidRPr="00875554">
        <w:rPr>
          <w:b/>
        </w:rPr>
        <w:t>genere</w:t>
      </w:r>
      <w:r w:rsidRPr="00875554">
        <w:rPr>
          <w:b/>
        </w:rPr>
        <w:t xml:space="preserve"> </w:t>
      </w:r>
      <w:r w:rsidR="00EF1E92" w:rsidRPr="00875554">
        <w:rPr>
          <w:b/>
        </w:rPr>
        <w:t>(</w:t>
      </w:r>
      <w:r w:rsidRPr="00875554">
        <w:rPr>
          <w:b/>
        </w:rPr>
        <w:t>le prime 4).</w:t>
      </w:r>
      <w:r w:rsidRPr="00875554">
        <w:t xml:space="preserve"> </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147"/>
        <w:gridCol w:w="947"/>
        <w:gridCol w:w="1598"/>
        <w:gridCol w:w="1003"/>
        <w:gridCol w:w="1541"/>
        <w:gridCol w:w="995"/>
        <w:gridCol w:w="1547"/>
      </w:tblGrid>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color w:val="000000"/>
                <w:lang w:eastAsia="ja-JP"/>
              </w:rPr>
            </w:pPr>
            <w:r>
              <w:rPr>
                <w:rFonts w:eastAsia="Times New Roman"/>
                <w:color w:val="000000"/>
                <w:lang w:eastAsia="ja-JP"/>
              </w:rPr>
              <w:t> </w:t>
            </w:r>
          </w:p>
        </w:tc>
        <w:tc>
          <w:tcPr>
            <w:tcW w:w="130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jc w:val="center"/>
              <w:rPr>
                <w:rFonts w:eastAsia="Times New Roman"/>
                <w:b/>
                <w:bCs/>
                <w:color w:val="000000"/>
                <w:lang w:eastAsia="ja-JP"/>
              </w:rPr>
            </w:pPr>
            <w:r>
              <w:rPr>
                <w:rFonts w:eastAsia="Times New Roman"/>
                <w:b/>
                <w:bCs/>
                <w:color w:val="000000"/>
                <w:lang w:eastAsia="ja-JP"/>
              </w:rPr>
              <w:t>F</w:t>
            </w:r>
          </w:p>
        </w:tc>
        <w:tc>
          <w:tcPr>
            <w:tcW w:w="1301"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jc w:val="center"/>
              <w:rPr>
                <w:rFonts w:eastAsia="Times New Roman"/>
                <w:b/>
                <w:bCs/>
                <w:color w:val="000000"/>
                <w:lang w:eastAsia="ja-JP"/>
              </w:rPr>
            </w:pPr>
            <w:r>
              <w:rPr>
                <w:rFonts w:eastAsia="Times New Roman"/>
                <w:b/>
                <w:bCs/>
                <w:color w:val="000000"/>
                <w:lang w:eastAsia="ja-JP"/>
              </w:rPr>
              <w:t>M</w:t>
            </w:r>
          </w:p>
        </w:tc>
        <w:tc>
          <w:tcPr>
            <w:tcW w:w="1300" w:type="pct"/>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jc w:val="center"/>
              <w:rPr>
                <w:rFonts w:eastAsia="Times New Roman"/>
                <w:b/>
                <w:bCs/>
                <w:color w:val="000000"/>
                <w:lang w:eastAsia="ja-JP"/>
              </w:rPr>
            </w:pPr>
            <w:r>
              <w:rPr>
                <w:rFonts w:eastAsia="Times New Roman"/>
                <w:b/>
                <w:bCs/>
                <w:color w:val="000000"/>
                <w:lang w:eastAsia="ja-JP"/>
              </w:rPr>
              <w:t>TOT</w:t>
            </w:r>
          </w:p>
        </w:tc>
      </w:tr>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b/>
                <w:bCs/>
                <w:lang w:eastAsia="ja-JP"/>
              </w:rPr>
            </w:pPr>
            <w:r>
              <w:rPr>
                <w:rFonts w:eastAsia="Times New Roman"/>
                <w:b/>
                <w:bCs/>
                <w:lang w:eastAsia="ja-JP"/>
              </w:rPr>
              <w:t>Nazione</w:t>
            </w:r>
          </w:p>
        </w:tc>
        <w:tc>
          <w:tcPr>
            <w:tcW w:w="4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V.A.</w:t>
            </w:r>
          </w:p>
        </w:tc>
        <w:tc>
          <w:tcPr>
            <w:tcW w:w="8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V.A.2</w:t>
            </w:r>
          </w:p>
        </w:tc>
        <w:tc>
          <w:tcPr>
            <w:tcW w:w="7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V.A.3</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b/>
                <w:bCs/>
                <w:lang w:eastAsia="ja-JP"/>
              </w:rPr>
            </w:pPr>
            <w:r>
              <w:rPr>
                <w:rFonts w:eastAsia="Times New Roman"/>
                <w:b/>
                <w:bCs/>
                <w:lang w:eastAsia="ja-JP"/>
              </w:rPr>
              <w:t>%</w:t>
            </w:r>
          </w:p>
        </w:tc>
      </w:tr>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color w:val="000000"/>
                <w:lang w:eastAsia="ja-JP"/>
              </w:rPr>
            </w:pPr>
            <w:r>
              <w:rPr>
                <w:rFonts w:eastAsia="Times New Roman"/>
                <w:color w:val="000000"/>
                <w:lang w:eastAsia="ja-JP"/>
              </w:rPr>
              <w:t>Romania</w:t>
            </w:r>
          </w:p>
        </w:tc>
        <w:tc>
          <w:tcPr>
            <w:tcW w:w="4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1299</w:t>
            </w:r>
          </w:p>
        </w:tc>
        <w:tc>
          <w:tcPr>
            <w:tcW w:w="8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48.02%</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239</w:t>
            </w:r>
          </w:p>
        </w:tc>
        <w:tc>
          <w:tcPr>
            <w:tcW w:w="7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47.33%</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1538</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47.91%</w:t>
            </w:r>
          </w:p>
        </w:tc>
      </w:tr>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color w:val="000000"/>
                <w:lang w:eastAsia="ja-JP"/>
              </w:rPr>
            </w:pPr>
            <w:r>
              <w:rPr>
                <w:rFonts w:eastAsia="Times New Roman"/>
                <w:color w:val="000000"/>
                <w:lang w:eastAsia="ja-JP"/>
              </w:rPr>
              <w:t>Russia</w:t>
            </w:r>
          </w:p>
        </w:tc>
        <w:tc>
          <w:tcPr>
            <w:tcW w:w="4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367</w:t>
            </w:r>
          </w:p>
        </w:tc>
        <w:tc>
          <w:tcPr>
            <w:tcW w:w="8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13.57%</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17</w:t>
            </w:r>
          </w:p>
        </w:tc>
        <w:tc>
          <w:tcPr>
            <w:tcW w:w="7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3.37%</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384</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11.96%</w:t>
            </w:r>
          </w:p>
        </w:tc>
      </w:tr>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color w:val="000000"/>
                <w:lang w:eastAsia="ja-JP"/>
              </w:rPr>
            </w:pPr>
            <w:r>
              <w:rPr>
                <w:rFonts w:eastAsia="Times New Roman"/>
                <w:color w:val="000000"/>
                <w:lang w:eastAsia="ja-JP"/>
              </w:rPr>
              <w:t>Ucraina</w:t>
            </w:r>
          </w:p>
        </w:tc>
        <w:tc>
          <w:tcPr>
            <w:tcW w:w="4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253</w:t>
            </w:r>
          </w:p>
        </w:tc>
        <w:tc>
          <w:tcPr>
            <w:tcW w:w="8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9.35%</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9</w:t>
            </w:r>
          </w:p>
        </w:tc>
        <w:tc>
          <w:tcPr>
            <w:tcW w:w="7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1.78%</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262</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8.16%</w:t>
            </w:r>
          </w:p>
        </w:tc>
      </w:tr>
      <w:tr w:rsidR="00EF1E92" w:rsidTr="00724B3C">
        <w:trPr>
          <w:cantSplit/>
          <w:trHeight w:val="300"/>
          <w:jc w:val="center"/>
        </w:trPr>
        <w:tc>
          <w:tcPr>
            <w:tcW w:w="1098"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F1E92" w:rsidRDefault="00EF1E92" w:rsidP="00BB4861">
            <w:pPr>
              <w:rPr>
                <w:rFonts w:eastAsia="Times New Roman"/>
                <w:color w:val="000000"/>
                <w:lang w:eastAsia="ja-JP"/>
              </w:rPr>
            </w:pPr>
            <w:r>
              <w:rPr>
                <w:rFonts w:eastAsia="Times New Roman"/>
                <w:color w:val="000000"/>
                <w:lang w:eastAsia="ja-JP"/>
              </w:rPr>
              <w:t>Moldavia</w:t>
            </w:r>
          </w:p>
        </w:tc>
        <w:tc>
          <w:tcPr>
            <w:tcW w:w="48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203</w:t>
            </w:r>
          </w:p>
        </w:tc>
        <w:tc>
          <w:tcPr>
            <w:tcW w:w="81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7.50%</w:t>
            </w:r>
          </w:p>
        </w:tc>
        <w:tc>
          <w:tcPr>
            <w:tcW w:w="513"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6</w:t>
            </w:r>
          </w:p>
        </w:tc>
        <w:tc>
          <w:tcPr>
            <w:tcW w:w="78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1.19%</w:t>
            </w:r>
          </w:p>
        </w:tc>
        <w:tc>
          <w:tcPr>
            <w:tcW w:w="50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209</w:t>
            </w:r>
          </w:p>
        </w:tc>
        <w:tc>
          <w:tcPr>
            <w:tcW w:w="79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F1E92" w:rsidRDefault="00EF1E92" w:rsidP="00BB4861">
            <w:pPr>
              <w:jc w:val="center"/>
              <w:rPr>
                <w:rFonts w:eastAsia="Times New Roman"/>
                <w:color w:val="000000"/>
                <w:lang w:eastAsia="ja-JP"/>
              </w:rPr>
            </w:pPr>
            <w:r>
              <w:rPr>
                <w:rFonts w:eastAsia="Times New Roman"/>
                <w:color w:val="000000"/>
                <w:lang w:eastAsia="ja-JP"/>
              </w:rPr>
              <w:t>6.51%</w:t>
            </w:r>
          </w:p>
        </w:tc>
      </w:tr>
    </w:tbl>
    <w:p w:rsidR="00EF1E92" w:rsidRDefault="00EF1E92" w:rsidP="005A781C">
      <w:r>
        <w:t xml:space="preserve">Analizzando l’incremento delle richieste per anno è interessante osservare che vi è stato un aumento significativo dal 1999 al 2004, nei quali le richieste con rumeni sono passate nel totale da 58 a 232 nel valore totale, mentre nel quinquennio successivo le richieste sono diminuite per poi stabilizzarsi nel 2008 con 191 richieste.   </w:t>
      </w:r>
    </w:p>
    <w:p w:rsidR="00EF1E92" w:rsidRDefault="00EF1E92" w:rsidP="00893B95">
      <w:r w:rsidRPr="00CF0C5A">
        <w:lastRenderedPageBreak/>
        <w:t>In sintesi</w:t>
      </w:r>
      <w:r w:rsidR="00B2561D">
        <w:t xml:space="preserve">, i </w:t>
      </w:r>
      <w:r w:rsidRPr="00CF0C5A">
        <w:t xml:space="preserve">dati </w:t>
      </w:r>
      <w:r w:rsidR="00B2561D">
        <w:t xml:space="preserve">ci dicono </w:t>
      </w:r>
      <w:r w:rsidRPr="00CF0C5A">
        <w:t xml:space="preserve">che questo è il gruppo più numeroso e che il dialogo ecumenico con le Chiese ortodosse/Chiese antico orientali, anglicani e luterani sia l’elemento che caratterizzerà le chiese cristiane nei prossimi anni.  </w:t>
      </w:r>
    </w:p>
    <w:p w:rsidR="00893B95" w:rsidRDefault="00893B95" w:rsidP="00893B95"/>
    <w:p w:rsidR="00530F8F" w:rsidRPr="00530F8F" w:rsidRDefault="00893B95" w:rsidP="00893B95">
      <w:pPr>
        <w:pStyle w:val="Titolo2"/>
      </w:pPr>
      <w:r>
        <w:t xml:space="preserve">4.2 </w:t>
      </w:r>
      <w:r w:rsidR="00530F8F" w:rsidRPr="00530F8F">
        <w:t>Luterani</w:t>
      </w:r>
    </w:p>
    <w:p w:rsidR="00EF1E92" w:rsidRDefault="00530F8F" w:rsidP="00893B95">
      <w:pPr>
        <w:rPr>
          <w:sz w:val="32"/>
          <w:szCs w:val="32"/>
        </w:rPr>
      </w:pPr>
      <w:r w:rsidRPr="00530F8F">
        <w:t xml:space="preserve">I 1056 </w:t>
      </w:r>
      <w:r w:rsidR="005B62C7">
        <w:t xml:space="preserve">(17%) </w:t>
      </w:r>
      <w:r w:rsidRPr="00530F8F">
        <w:t xml:space="preserve">matrimoni con i Luterani sono in prevalenza di cattolici che sposano donne luterane (569) rispetto agli uomini 487. Essi provengono da: </w:t>
      </w:r>
      <w:r w:rsidR="00EF1E92" w:rsidRPr="00893B95">
        <w:t xml:space="preserve">Germania (48%), Svezia (10%), Stati Uniti (7%), Finlandia (5%), Italia (5%) e Danimarca (4%), Norvegia (4%) e Svizzera (3%). Nel corso del decennio, dal 1999 al 2005 l’andamento è stato costante mantenendosi su una media di 120, </w:t>
      </w:r>
      <w:r w:rsidR="00977939">
        <w:t xml:space="preserve">tranne </w:t>
      </w:r>
      <w:r w:rsidR="00EF1E92" w:rsidRPr="00893B95">
        <w:t xml:space="preserve">negli anni 2007- 2008 </w:t>
      </w:r>
      <w:r w:rsidR="00977939">
        <w:t xml:space="preserve">nei quali </w:t>
      </w:r>
      <w:r w:rsidR="00EF1E92" w:rsidRPr="00893B95">
        <w:t>sono diminuiti (la media è di 83 unità).</w:t>
      </w:r>
      <w:r w:rsidR="00EF1E92" w:rsidRPr="00F91441">
        <w:rPr>
          <w:sz w:val="32"/>
          <w:szCs w:val="32"/>
        </w:rPr>
        <w:t xml:space="preserve">   </w:t>
      </w:r>
    </w:p>
    <w:p w:rsidR="00893B95" w:rsidRPr="00F91441" w:rsidRDefault="00893B95" w:rsidP="00893B95">
      <w:pPr>
        <w:rPr>
          <w:sz w:val="32"/>
          <w:szCs w:val="32"/>
        </w:rPr>
      </w:pPr>
    </w:p>
    <w:p w:rsidR="00CB5E96" w:rsidRDefault="00893B95" w:rsidP="00893B95">
      <w:pPr>
        <w:pStyle w:val="Titolo2"/>
      </w:pPr>
      <w:r>
        <w:t xml:space="preserve">4.3 </w:t>
      </w:r>
      <w:r w:rsidR="00CB5E96" w:rsidRPr="00512A92">
        <w:t xml:space="preserve">Anglicani </w:t>
      </w:r>
    </w:p>
    <w:p w:rsidR="00CB5E96" w:rsidRDefault="00CB5E96" w:rsidP="00893B95">
      <w:r w:rsidRPr="002F6FE3">
        <w:t>I matrimoni con gli anglicani sono nel totale 705 (11%)</w:t>
      </w:r>
      <w:r w:rsidR="004E6F25">
        <w:t xml:space="preserve">, </w:t>
      </w:r>
      <w:r>
        <w:t xml:space="preserve">in maggioranza donne cattoliche che sposano uomini (438) pari al 21%, rispetto alle donne 267 (6%). </w:t>
      </w:r>
    </w:p>
    <w:p w:rsidR="00CB5E96" w:rsidRDefault="00CB5E96" w:rsidP="00893B95">
      <w:r>
        <w:t>Gli anglicani provengono, come previsto, da</w:t>
      </w:r>
      <w:r w:rsidR="00977939">
        <w:t>: R</w:t>
      </w:r>
      <w:r>
        <w:t>egno Unito (75%), Stati Uniti  (3%), Irlanda (3%) e dall’Australia (3%).</w:t>
      </w:r>
    </w:p>
    <w:p w:rsidR="00CB5E96" w:rsidRPr="002F6FE3" w:rsidRDefault="00CB5E96" w:rsidP="00893B95">
      <w:r>
        <w:t xml:space="preserve">Nel decennio analizzato i matrimoni con gli anglicani sono leggermente aumentati passando, nel valore assoluto, da 60 nel 1999 a 78 nel 2008. </w:t>
      </w:r>
    </w:p>
    <w:p w:rsidR="00CB5E96" w:rsidRPr="002F6FE3" w:rsidRDefault="00CB5E96" w:rsidP="00CB5E96">
      <w:pPr>
        <w:rPr>
          <w:sz w:val="28"/>
          <w:szCs w:val="28"/>
        </w:rPr>
      </w:pPr>
    </w:p>
    <w:p w:rsidR="00847EB5" w:rsidRPr="00847EB5" w:rsidRDefault="00893B95" w:rsidP="00893B95">
      <w:pPr>
        <w:pStyle w:val="Titolo2"/>
        <w:rPr>
          <w:szCs w:val="28"/>
        </w:rPr>
      </w:pPr>
      <w:r>
        <w:t xml:space="preserve">4.4 </w:t>
      </w:r>
      <w:r w:rsidR="00EF1E92" w:rsidRPr="00847EB5">
        <w:t xml:space="preserve">Valdesi e metodisti </w:t>
      </w:r>
      <w:r w:rsidR="00847EB5" w:rsidRPr="00847EB5">
        <w:rPr>
          <w:szCs w:val="28"/>
        </w:rPr>
        <w:t xml:space="preserve"> </w:t>
      </w:r>
    </w:p>
    <w:p w:rsidR="00EF1E92" w:rsidRPr="002B4A5D" w:rsidRDefault="00847EB5" w:rsidP="00893B95">
      <w:r w:rsidRPr="00847EB5">
        <w:t>I matrimoni con i Valdesi e i Metodisti sono nell’insieme 312, con una leggera prevalenza di matrimoni con donne (163). Anche le percentuali sul totale dei matrimoni interconfessionali ci avevano segnalato una presenza “non invasiva” che è del 5%. Più delle metà sono matrimoni tra italiani (55%), e, tra le prime  nazionalità si segnalano: Regno Unito (17%), Stati Uniti (11%) e Germania (4%).</w:t>
      </w:r>
      <w:r w:rsidRPr="006246B3">
        <w:t xml:space="preserve"> </w:t>
      </w:r>
    </w:p>
    <w:p w:rsidR="002B12E7" w:rsidRDefault="00EF1E92" w:rsidP="00893B95">
      <w:r>
        <w:t>Nel decennio esaminato i matrimoni con gli appartenenti alla Chiesa Valdese e metodista sono diminuit</w:t>
      </w:r>
      <w:r w:rsidR="00977939">
        <w:t>i</w:t>
      </w:r>
      <w:r>
        <w:t xml:space="preserve"> </w:t>
      </w:r>
      <w:r w:rsidR="00847EB5">
        <w:t xml:space="preserve">di </w:t>
      </w:r>
      <w:r>
        <w:t xml:space="preserve">quasi </w:t>
      </w:r>
      <w:r w:rsidR="00847EB5">
        <w:t>u</w:t>
      </w:r>
      <w:r>
        <w:t>n terzo</w:t>
      </w:r>
      <w:r w:rsidR="00977939">
        <w:t xml:space="preserve">; </w:t>
      </w:r>
      <w:r>
        <w:t>da 42 nel 1999 sono passati a 15 nel 2008.</w:t>
      </w:r>
    </w:p>
    <w:p w:rsidR="00CC0354" w:rsidRDefault="00CC0354" w:rsidP="00EF1E92">
      <w:pPr>
        <w:rPr>
          <w:sz w:val="32"/>
          <w:szCs w:val="32"/>
        </w:rPr>
      </w:pPr>
    </w:p>
    <w:p w:rsidR="002B12E7" w:rsidRPr="002B12E7" w:rsidRDefault="00893B95" w:rsidP="00893B95">
      <w:pPr>
        <w:pStyle w:val="Titolo2"/>
      </w:pPr>
      <w:r>
        <w:lastRenderedPageBreak/>
        <w:t xml:space="preserve">4.5 </w:t>
      </w:r>
      <w:r w:rsidR="002B12E7" w:rsidRPr="002B12E7">
        <w:t>Evangelici</w:t>
      </w:r>
    </w:p>
    <w:p w:rsidR="00876A69" w:rsidRDefault="002B12E7" w:rsidP="00EF1E92">
      <w:r>
        <w:t>Sono in quantità rilevante (10%)</w:t>
      </w:r>
      <w:r w:rsidR="003F5FEA">
        <w:t xml:space="preserve"> 649 nel valore assoluto, </w:t>
      </w:r>
      <w:r>
        <w:t xml:space="preserve">i matrimoni che abbiamo </w:t>
      </w:r>
      <w:r w:rsidR="003F5FEA">
        <w:t xml:space="preserve">chiamato </w:t>
      </w:r>
      <w:r>
        <w:t>con “Altre denominazioni”, indicando con questa espressione coloro che si sono defin</w:t>
      </w:r>
      <w:r w:rsidR="00977939">
        <w:t>iti semplicemente “evangelici”.</w:t>
      </w:r>
    </w:p>
    <w:p w:rsidR="00D402F9" w:rsidRDefault="00D402F9" w:rsidP="00EF1E92">
      <w:pPr>
        <w:rPr>
          <w:sz w:val="32"/>
          <w:szCs w:val="32"/>
        </w:rPr>
      </w:pPr>
    </w:p>
    <w:p w:rsidR="00876A69" w:rsidRPr="00876A69" w:rsidRDefault="00893B95" w:rsidP="00893B95">
      <w:pPr>
        <w:pStyle w:val="Titolo2"/>
      </w:pPr>
      <w:r>
        <w:t xml:space="preserve">4.6 </w:t>
      </w:r>
      <w:r w:rsidR="00876A69" w:rsidRPr="00876A69">
        <w:t xml:space="preserve">Chiese battiste </w:t>
      </w:r>
    </w:p>
    <w:p w:rsidR="00876A69" w:rsidRDefault="00876A69" w:rsidP="00893B95">
      <w:r>
        <w:t xml:space="preserve">Con </w:t>
      </w:r>
      <w:r w:rsidR="00AE2EF4">
        <w:t>gli appartenenti all</w:t>
      </w:r>
      <w:r>
        <w:t>e Chiese battiste si sono celebrati 13</w:t>
      </w:r>
      <w:r w:rsidR="003F5FEA">
        <w:t>7</w:t>
      </w:r>
      <w:r>
        <w:t xml:space="preserve"> (</w:t>
      </w:r>
      <w:r w:rsidR="00AE2EF4">
        <w:t>2</w:t>
      </w:r>
      <w:r>
        <w:t xml:space="preserve">%) matrimoni, prevalentemente con </w:t>
      </w:r>
      <w:r w:rsidR="00AE2EF4">
        <w:t xml:space="preserve">uomini (79) </w:t>
      </w:r>
      <w:r>
        <w:t xml:space="preserve">. </w:t>
      </w:r>
    </w:p>
    <w:p w:rsidR="00AE2EF4" w:rsidRDefault="00AE2EF4" w:rsidP="00EF1E92">
      <w:pPr>
        <w:rPr>
          <w:sz w:val="32"/>
          <w:szCs w:val="32"/>
        </w:rPr>
      </w:pPr>
    </w:p>
    <w:p w:rsidR="00354E92" w:rsidRPr="00354E92" w:rsidRDefault="00893B95" w:rsidP="00354E92">
      <w:pPr>
        <w:rPr>
          <w:sz w:val="32"/>
          <w:szCs w:val="32"/>
          <w:u w:val="single"/>
        </w:rPr>
      </w:pPr>
      <w:r>
        <w:rPr>
          <w:rStyle w:val="Titolo2Carattere"/>
        </w:rPr>
        <w:t xml:space="preserve">4.7 </w:t>
      </w:r>
      <w:r w:rsidR="00354E92" w:rsidRPr="00893B95">
        <w:rPr>
          <w:rStyle w:val="Titolo2Carattere"/>
        </w:rPr>
        <w:t>Cristiani</w:t>
      </w:r>
    </w:p>
    <w:p w:rsidR="00354E92" w:rsidRDefault="00354E92" w:rsidP="00893B95">
      <w:r>
        <w:t xml:space="preserve">In questo gruppo abbiamo inserito i matrimoni (2%) 130 in valore assoluto, di coloro che si sono definiti </w:t>
      </w:r>
      <w:r w:rsidR="00AE2EF4">
        <w:t xml:space="preserve">semplicemente </w:t>
      </w:r>
      <w:r>
        <w:t xml:space="preserve">“cristiani”.   </w:t>
      </w:r>
    </w:p>
    <w:p w:rsidR="00893B95" w:rsidRDefault="00893B95" w:rsidP="00893B95"/>
    <w:p w:rsidR="00354E92" w:rsidRPr="00354E92" w:rsidRDefault="00893B95" w:rsidP="00893B95">
      <w:pPr>
        <w:pStyle w:val="Titolo2"/>
      </w:pPr>
      <w:r>
        <w:t xml:space="preserve">4.8 </w:t>
      </w:r>
      <w:r w:rsidR="00876A69">
        <w:t xml:space="preserve">Altri </w:t>
      </w:r>
      <w:r w:rsidR="00354E92" w:rsidRPr="00354E92">
        <w:t>movimenti</w:t>
      </w:r>
      <w:r w:rsidR="00876A69">
        <w:t xml:space="preserve"> di matrice cristiana</w:t>
      </w:r>
    </w:p>
    <w:p w:rsidR="00354E92" w:rsidRDefault="002B12E7" w:rsidP="00893B95">
      <w:r>
        <w:t xml:space="preserve">Sono il </w:t>
      </w:r>
      <w:r w:rsidR="00354E92">
        <w:t>1,47</w:t>
      </w:r>
      <w:r>
        <w:t xml:space="preserve">% </w:t>
      </w:r>
      <w:r w:rsidR="00354E92">
        <w:t xml:space="preserve">pari a 94 (in prevalenza </w:t>
      </w:r>
      <w:r w:rsidR="00876A69">
        <w:t>donne</w:t>
      </w:r>
      <w:r w:rsidR="00977939">
        <w:t>,</w:t>
      </w:r>
      <w:r w:rsidR="00876A69">
        <w:t xml:space="preserve"> </w:t>
      </w:r>
      <w:r w:rsidR="00354E92">
        <w:t xml:space="preserve">73) </w:t>
      </w:r>
      <w:r>
        <w:t xml:space="preserve">i matrimoni con </w:t>
      </w:r>
      <w:r w:rsidR="00354E92">
        <w:t>coloro che si sono definiti a</w:t>
      </w:r>
      <w:r>
        <w:t xml:space="preserve">ppartenenti ad </w:t>
      </w:r>
      <w:r w:rsidR="00354E92">
        <w:t>“A</w:t>
      </w:r>
      <w:r>
        <w:t>ltro movimento cristiano di matrice occidentale</w:t>
      </w:r>
      <w:r w:rsidR="00354E92">
        <w:t xml:space="preserve">”. </w:t>
      </w:r>
    </w:p>
    <w:p w:rsidR="00CC0354" w:rsidRDefault="00CC0354" w:rsidP="00EF1E92">
      <w:pPr>
        <w:rPr>
          <w:sz w:val="32"/>
          <w:szCs w:val="32"/>
        </w:rPr>
      </w:pPr>
    </w:p>
    <w:p w:rsidR="00AE2EF4" w:rsidRPr="00AE2EF4" w:rsidRDefault="00893B95" w:rsidP="00893B95">
      <w:pPr>
        <w:pStyle w:val="Titolo2"/>
      </w:pPr>
      <w:r>
        <w:t xml:space="preserve">4.9 </w:t>
      </w:r>
      <w:r w:rsidR="00AE2EF4" w:rsidRPr="00F90EF8">
        <w:t>T</w:t>
      </w:r>
      <w:r w:rsidR="00AE2EF4" w:rsidRPr="00AE2EF4">
        <w:t>estimoni di Geova</w:t>
      </w:r>
    </w:p>
    <w:p w:rsidR="00AE2EF4" w:rsidRDefault="00977939" w:rsidP="00893B95">
      <w:r>
        <w:t xml:space="preserve">Sono </w:t>
      </w:r>
      <w:r w:rsidR="00AE2EF4">
        <w:t>13 (0,47) i matrimoni con i Testimoni di Geova</w:t>
      </w:r>
      <w:r w:rsidR="005B62C7">
        <w:t>.</w:t>
      </w:r>
    </w:p>
    <w:p w:rsidR="005B62C7" w:rsidRDefault="005B62C7" w:rsidP="00EF1E92">
      <w:pPr>
        <w:rPr>
          <w:sz w:val="32"/>
          <w:szCs w:val="32"/>
        </w:rPr>
      </w:pPr>
    </w:p>
    <w:p w:rsidR="00AE2EF4" w:rsidRPr="00AE2EF4" w:rsidRDefault="00893B95" w:rsidP="00893B95">
      <w:pPr>
        <w:pStyle w:val="Titolo2"/>
      </w:pPr>
      <w:r>
        <w:t xml:space="preserve">4.10 </w:t>
      </w:r>
      <w:r w:rsidR="00AE2EF4" w:rsidRPr="00AE2EF4">
        <w:t xml:space="preserve">Mormoni </w:t>
      </w:r>
    </w:p>
    <w:p w:rsidR="00F90EF8" w:rsidRDefault="00AE2EF4" w:rsidP="00AE6ABC">
      <w:r>
        <w:t xml:space="preserve">Solo </w:t>
      </w:r>
      <w:r w:rsidR="00977939">
        <w:t xml:space="preserve">3 </w:t>
      </w:r>
      <w:r w:rsidR="00F90EF8">
        <w:t xml:space="preserve">(0, 25) </w:t>
      </w:r>
      <w:r>
        <w:t>sono i matrimoni con</w:t>
      </w:r>
      <w:r w:rsidR="00F90EF8">
        <w:t xml:space="preserve"> gli appartenenti </w:t>
      </w:r>
      <w:r>
        <w:t>Mormoni</w:t>
      </w:r>
      <w:r w:rsidR="00F90EF8">
        <w:t>, quasi tutti uomini</w:t>
      </w:r>
      <w:r>
        <w:t>.</w:t>
      </w:r>
      <w:r w:rsidR="00F90EF8">
        <w:t xml:space="preserve"> </w:t>
      </w:r>
    </w:p>
    <w:p w:rsidR="00977939" w:rsidRDefault="00977939" w:rsidP="00AE6ABC"/>
    <w:p w:rsidR="00F90EF8" w:rsidRDefault="00F90EF8" w:rsidP="00AE6ABC">
      <w:r>
        <w:t>Questi ultim</w:t>
      </w:r>
      <w:r w:rsidR="00873A70">
        <w:t>e due categorie n</w:t>
      </w:r>
      <w:r>
        <w:t>on sono significativ</w:t>
      </w:r>
      <w:r w:rsidR="00873A70">
        <w:t>e</w:t>
      </w:r>
      <w:r>
        <w:t xml:space="preserve"> ma </w:t>
      </w:r>
      <w:r w:rsidR="00873A70">
        <w:t>sono indicate p</w:t>
      </w:r>
      <w:r>
        <w:t xml:space="preserve">er </w:t>
      </w:r>
      <w:r w:rsidR="00873A70">
        <w:t xml:space="preserve">segnalare </w:t>
      </w:r>
      <w:r>
        <w:t xml:space="preserve">la complessità della “galassia evangelica” e “cristiana” in Italia, che costituisce una realtà molto fluida sia per la denominazione religiosa che per la nazionalità. </w:t>
      </w:r>
    </w:p>
    <w:p w:rsidR="00911B22" w:rsidRDefault="00911B22" w:rsidP="00AE6ABC">
      <w:r w:rsidRPr="006246B3">
        <w:t>In sintesi questi dati evidenziano che il gruppo più numeroso</w:t>
      </w:r>
      <w:r>
        <w:t xml:space="preserve"> è quello </w:t>
      </w:r>
      <w:r w:rsidRPr="006246B3">
        <w:t xml:space="preserve">Chiese ortodosse/Chiese antico orientali, </w:t>
      </w:r>
      <w:r>
        <w:t xml:space="preserve">seguito dagli </w:t>
      </w:r>
      <w:r w:rsidRPr="0041392E">
        <w:t>anglicani</w:t>
      </w:r>
      <w:r>
        <w:t xml:space="preserve">, </w:t>
      </w:r>
      <w:r w:rsidRPr="0041392E">
        <w:t>luterani</w:t>
      </w:r>
      <w:r>
        <w:t xml:space="preserve">, valdesi e metodisti </w:t>
      </w:r>
      <w:r w:rsidRPr="006246B3">
        <w:t xml:space="preserve">e che il dialogo ecumenico caratterizzerà le chiese cristiane nei prossimi anni.  </w:t>
      </w:r>
    </w:p>
    <w:p w:rsidR="00C467C5" w:rsidRDefault="00C467C5" w:rsidP="00EF1E92">
      <w:pPr>
        <w:rPr>
          <w:sz w:val="32"/>
          <w:szCs w:val="32"/>
        </w:rPr>
      </w:pPr>
    </w:p>
    <w:p w:rsidR="00C467C5" w:rsidRPr="000654A8" w:rsidRDefault="00C467C5" w:rsidP="00AE6ABC">
      <w:pPr>
        <w:pStyle w:val="Titolo1"/>
        <w:numPr>
          <w:ilvl w:val="0"/>
          <w:numId w:val="22"/>
        </w:numPr>
      </w:pPr>
      <w:r w:rsidRPr="000654A8">
        <w:t>I matrimoni interreligiosi</w:t>
      </w:r>
    </w:p>
    <w:p w:rsidR="00A206D7" w:rsidRDefault="00724B63" w:rsidP="00B139F4">
      <w:r w:rsidRPr="00CF0342">
        <w:t xml:space="preserve">Complessivamente </w:t>
      </w:r>
      <w:r w:rsidR="003C6D2E">
        <w:t>le richieste di dispen</w:t>
      </w:r>
      <w:r w:rsidR="005624C3">
        <w:t>s</w:t>
      </w:r>
      <w:r w:rsidR="003C6D2E">
        <w:t>a</w:t>
      </w:r>
      <w:r w:rsidR="005624C3">
        <w:rPr>
          <w:rStyle w:val="Rimandonotaapidipagina"/>
          <w:sz w:val="28"/>
          <w:szCs w:val="28"/>
        </w:rPr>
        <w:footnoteReference w:id="6"/>
      </w:r>
      <w:r w:rsidR="003C6D2E">
        <w:t xml:space="preserve"> </w:t>
      </w:r>
      <w:r w:rsidR="00385A13">
        <w:t>per celebrare un matrimonio con una/o sposa/o di altra religione (</w:t>
      </w:r>
      <w:r w:rsidR="00EC184E" w:rsidRPr="00CF0342">
        <w:t>matrimoni interreligios</w:t>
      </w:r>
      <w:r w:rsidR="00385A13">
        <w:t>o)</w:t>
      </w:r>
      <w:r w:rsidR="00EC184E" w:rsidRPr="00CF0342">
        <w:t xml:space="preserve"> sono 839</w:t>
      </w:r>
      <w:r w:rsidRPr="00CF0342">
        <w:t>, pari al</w:t>
      </w:r>
      <w:r w:rsidR="00961D67">
        <w:t>l’8</w:t>
      </w:r>
      <w:r w:rsidRPr="00CF0342">
        <w:t>% del totale.</w:t>
      </w:r>
      <w:r w:rsidR="002E623D" w:rsidRPr="00CF0342">
        <w:t xml:space="preserve"> </w:t>
      </w:r>
      <w:r w:rsidR="00CF0342" w:rsidRPr="00CF0342">
        <w:t xml:space="preserve"> </w:t>
      </w:r>
    </w:p>
    <w:p w:rsidR="00D54EF7" w:rsidRDefault="00D54EF7" w:rsidP="00CF0342">
      <w:pPr>
        <w:spacing w:line="240" w:lineRule="auto"/>
        <w:rPr>
          <w:sz w:val="28"/>
          <w:szCs w:val="28"/>
        </w:rPr>
      </w:pPr>
    </w:p>
    <w:p w:rsidR="00CC0354" w:rsidRPr="00D2584C" w:rsidRDefault="00CC0354" w:rsidP="00B139F4">
      <w:pPr>
        <w:rPr>
          <w:b/>
        </w:rPr>
      </w:pPr>
      <w:r w:rsidRPr="00D2584C">
        <w:rPr>
          <w:b/>
        </w:rPr>
        <w:t xml:space="preserve">Tab. n. 8. Totale dei matrimoni interreligiosi </w:t>
      </w:r>
      <w:r w:rsidR="009322B6">
        <w:rPr>
          <w:b/>
        </w:rPr>
        <w:t xml:space="preserve">per </w:t>
      </w:r>
      <w:r w:rsidRPr="00D2584C">
        <w:rPr>
          <w:b/>
        </w:rPr>
        <w:t xml:space="preserve">religione e </w:t>
      </w:r>
      <w:r w:rsidR="00754598" w:rsidRPr="00D2584C">
        <w:rPr>
          <w:b/>
        </w:rPr>
        <w:t xml:space="preserve">genere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9"/>
        <w:gridCol w:w="831"/>
        <w:gridCol w:w="1465"/>
        <w:gridCol w:w="810"/>
        <w:gridCol w:w="1465"/>
        <w:gridCol w:w="810"/>
        <w:gridCol w:w="1488"/>
      </w:tblGrid>
      <w:tr w:rsidR="00B14414" w:rsidRPr="00B14414" w:rsidTr="00B14414">
        <w:trPr>
          <w:cantSplit/>
          <w:trHeight w:val="20"/>
        </w:trPr>
        <w:tc>
          <w:tcPr>
            <w:tcW w:w="1488" w:type="pct"/>
            <w:shd w:val="clear" w:color="auto" w:fill="auto"/>
            <w:noWrap/>
            <w:vAlign w:val="center"/>
            <w:hideMark/>
          </w:tcPr>
          <w:p w:rsidR="00B14414" w:rsidRPr="00B14414" w:rsidRDefault="00B14414" w:rsidP="00B14414">
            <w:pPr>
              <w:spacing w:line="240" w:lineRule="auto"/>
              <w:rPr>
                <w:rFonts w:eastAsia="Times New Roman"/>
                <w:color w:val="000000"/>
                <w:lang w:eastAsia="ja-JP"/>
              </w:rPr>
            </w:pPr>
          </w:p>
        </w:tc>
        <w:tc>
          <w:tcPr>
            <w:tcW w:w="3512" w:type="pct"/>
            <w:gridSpan w:val="6"/>
            <w:shd w:val="clear" w:color="auto" w:fill="auto"/>
            <w:noWrap/>
            <w:vAlign w:val="center"/>
            <w:hideMark/>
          </w:tcPr>
          <w:p w:rsidR="00B14414" w:rsidRPr="00B14414" w:rsidRDefault="00B14414" w:rsidP="00B14414">
            <w:pPr>
              <w:spacing w:line="240" w:lineRule="auto"/>
              <w:jc w:val="center"/>
              <w:rPr>
                <w:rFonts w:eastAsia="Times New Roman"/>
                <w:b/>
                <w:bCs/>
                <w:color w:val="000000"/>
                <w:lang w:eastAsia="ja-JP"/>
              </w:rPr>
            </w:pPr>
            <w:r w:rsidRPr="00B14414">
              <w:rPr>
                <w:rFonts w:eastAsia="Times New Roman"/>
                <w:b/>
                <w:bCs/>
                <w:color w:val="000000"/>
                <w:lang w:eastAsia="ja-JP"/>
              </w:rPr>
              <w:t>TOT Complessivo</w:t>
            </w:r>
          </w:p>
        </w:tc>
      </w:tr>
      <w:tr w:rsidR="00B14414" w:rsidRPr="00B14414" w:rsidTr="00B14414">
        <w:trPr>
          <w:cantSplit/>
          <w:trHeight w:val="20"/>
        </w:trPr>
        <w:tc>
          <w:tcPr>
            <w:tcW w:w="1488" w:type="pct"/>
            <w:shd w:val="clear" w:color="auto" w:fill="auto"/>
            <w:noWrap/>
            <w:vAlign w:val="center"/>
            <w:hideMark/>
          </w:tcPr>
          <w:p w:rsidR="00B14414" w:rsidRPr="00B14414" w:rsidRDefault="00B14414" w:rsidP="00B14414">
            <w:pPr>
              <w:spacing w:line="240" w:lineRule="auto"/>
              <w:rPr>
                <w:rFonts w:eastAsia="Times New Roman"/>
                <w:color w:val="000000"/>
                <w:lang w:eastAsia="ja-JP"/>
              </w:rPr>
            </w:pPr>
          </w:p>
        </w:tc>
        <w:tc>
          <w:tcPr>
            <w:tcW w:w="1174" w:type="pct"/>
            <w:gridSpan w:val="2"/>
            <w:shd w:val="clear" w:color="auto" w:fill="auto"/>
            <w:noWrap/>
            <w:vAlign w:val="center"/>
            <w:hideMark/>
          </w:tcPr>
          <w:p w:rsidR="00B14414" w:rsidRPr="00B14414" w:rsidRDefault="00B14414" w:rsidP="00B14414">
            <w:pPr>
              <w:spacing w:line="240" w:lineRule="auto"/>
              <w:jc w:val="center"/>
              <w:rPr>
                <w:rFonts w:eastAsia="Times New Roman"/>
                <w:b/>
                <w:bCs/>
                <w:color w:val="000000"/>
                <w:lang w:eastAsia="ja-JP"/>
              </w:rPr>
            </w:pPr>
            <w:r w:rsidRPr="00B14414">
              <w:rPr>
                <w:rFonts w:eastAsia="Times New Roman"/>
                <w:b/>
                <w:bCs/>
                <w:color w:val="000000"/>
                <w:lang w:eastAsia="ja-JP"/>
              </w:rPr>
              <w:t>F</w:t>
            </w:r>
          </w:p>
        </w:tc>
        <w:tc>
          <w:tcPr>
            <w:tcW w:w="1163" w:type="pct"/>
            <w:gridSpan w:val="2"/>
            <w:shd w:val="clear" w:color="auto" w:fill="auto"/>
            <w:noWrap/>
            <w:vAlign w:val="center"/>
            <w:hideMark/>
          </w:tcPr>
          <w:p w:rsidR="00B14414" w:rsidRPr="00B14414" w:rsidRDefault="00B14414" w:rsidP="00B14414">
            <w:pPr>
              <w:spacing w:line="240" w:lineRule="auto"/>
              <w:jc w:val="center"/>
              <w:rPr>
                <w:rFonts w:eastAsia="Times New Roman"/>
                <w:b/>
                <w:bCs/>
                <w:color w:val="000000"/>
                <w:lang w:eastAsia="ja-JP"/>
              </w:rPr>
            </w:pPr>
            <w:r w:rsidRPr="00B14414">
              <w:rPr>
                <w:rFonts w:eastAsia="Times New Roman"/>
                <w:b/>
                <w:bCs/>
                <w:color w:val="000000"/>
                <w:lang w:eastAsia="ja-JP"/>
              </w:rPr>
              <w:t>M</w:t>
            </w:r>
          </w:p>
        </w:tc>
        <w:tc>
          <w:tcPr>
            <w:tcW w:w="1174" w:type="pct"/>
            <w:gridSpan w:val="2"/>
            <w:shd w:val="clear" w:color="auto" w:fill="auto"/>
            <w:noWrap/>
            <w:vAlign w:val="center"/>
            <w:hideMark/>
          </w:tcPr>
          <w:p w:rsidR="00B14414" w:rsidRPr="00B14414" w:rsidRDefault="00B14414" w:rsidP="00B14414">
            <w:pPr>
              <w:spacing w:line="240" w:lineRule="auto"/>
              <w:jc w:val="center"/>
              <w:rPr>
                <w:rFonts w:eastAsia="Times New Roman"/>
                <w:b/>
                <w:bCs/>
                <w:color w:val="000000"/>
                <w:lang w:eastAsia="ja-JP"/>
              </w:rPr>
            </w:pPr>
            <w:r w:rsidRPr="00B14414">
              <w:rPr>
                <w:rFonts w:eastAsia="Times New Roman"/>
                <w:b/>
                <w:bCs/>
                <w:color w:val="000000"/>
                <w:lang w:eastAsia="ja-JP"/>
              </w:rPr>
              <w:t>TOT</w:t>
            </w:r>
          </w:p>
        </w:tc>
      </w:tr>
      <w:tr w:rsidR="00B14414" w:rsidRPr="00B14414" w:rsidTr="00B14414">
        <w:trPr>
          <w:cantSplit/>
          <w:trHeight w:val="20"/>
        </w:trPr>
        <w:tc>
          <w:tcPr>
            <w:tcW w:w="1488" w:type="pct"/>
            <w:shd w:val="clear" w:color="auto" w:fill="auto"/>
            <w:noWrap/>
            <w:vAlign w:val="center"/>
            <w:hideMark/>
          </w:tcPr>
          <w:p w:rsidR="00B14414" w:rsidRPr="00B14414" w:rsidRDefault="00B14414" w:rsidP="00B14414">
            <w:pPr>
              <w:spacing w:line="240" w:lineRule="auto"/>
              <w:rPr>
                <w:rFonts w:eastAsia="Times New Roman"/>
                <w:b/>
                <w:bCs/>
                <w:color w:val="000000"/>
                <w:lang w:eastAsia="ja-JP"/>
              </w:rPr>
            </w:pPr>
            <w:r w:rsidRPr="00B14414">
              <w:rPr>
                <w:rFonts w:eastAsia="Times New Roman"/>
                <w:b/>
                <w:bCs/>
                <w:color w:val="000000"/>
                <w:lang w:eastAsia="ja-JP"/>
              </w:rPr>
              <w:t>Religione</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V.A.</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V.A.</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V.A.</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w:t>
            </w:r>
          </w:p>
        </w:tc>
      </w:tr>
      <w:tr w:rsidR="00B14414" w:rsidRPr="00B14414" w:rsidTr="00B14414">
        <w:trPr>
          <w:cantSplit/>
          <w:trHeight w:val="20"/>
        </w:trPr>
        <w:tc>
          <w:tcPr>
            <w:tcW w:w="1488" w:type="pct"/>
            <w:shd w:val="clear" w:color="auto" w:fill="auto"/>
            <w:vAlign w:val="bottom"/>
            <w:hideMark/>
          </w:tcPr>
          <w:p w:rsidR="00B14414" w:rsidRPr="00B14414" w:rsidRDefault="00B14414" w:rsidP="00B14414">
            <w:pPr>
              <w:spacing w:line="240" w:lineRule="auto"/>
              <w:rPr>
                <w:rFonts w:eastAsia="Times New Roman"/>
                <w:color w:val="000000"/>
                <w:lang w:eastAsia="ja-JP"/>
              </w:rPr>
            </w:pPr>
            <w:r w:rsidRPr="00B14414">
              <w:rPr>
                <w:rFonts w:eastAsia="Times New Roman"/>
                <w:color w:val="000000"/>
                <w:lang w:eastAsia="ja-JP"/>
              </w:rPr>
              <w:t>EBREI</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43</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10.29%</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56</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13.30%</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99</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11.80%</w:t>
            </w:r>
          </w:p>
        </w:tc>
      </w:tr>
      <w:tr w:rsidR="00B14414" w:rsidRPr="00B14414" w:rsidTr="00B14414">
        <w:trPr>
          <w:cantSplit/>
          <w:trHeight w:val="20"/>
        </w:trPr>
        <w:tc>
          <w:tcPr>
            <w:tcW w:w="1488" w:type="pct"/>
            <w:shd w:val="clear" w:color="auto" w:fill="auto"/>
            <w:vAlign w:val="bottom"/>
            <w:hideMark/>
          </w:tcPr>
          <w:p w:rsidR="00B14414" w:rsidRPr="00B14414" w:rsidRDefault="00B14414" w:rsidP="00B14414">
            <w:pPr>
              <w:spacing w:line="240" w:lineRule="auto"/>
              <w:rPr>
                <w:rFonts w:eastAsia="Times New Roman"/>
                <w:color w:val="000000"/>
                <w:lang w:eastAsia="ja-JP"/>
              </w:rPr>
            </w:pPr>
            <w:r w:rsidRPr="00B14414">
              <w:rPr>
                <w:rFonts w:eastAsia="Times New Roman"/>
                <w:color w:val="000000"/>
                <w:lang w:eastAsia="ja-JP"/>
              </w:rPr>
              <w:t>ISLAMICI</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187</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44.74%</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246</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58.43%</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433</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51.61%</w:t>
            </w:r>
          </w:p>
        </w:tc>
      </w:tr>
      <w:tr w:rsidR="00B14414" w:rsidRPr="00B14414" w:rsidTr="00B14414">
        <w:trPr>
          <w:cantSplit/>
          <w:trHeight w:val="20"/>
        </w:trPr>
        <w:tc>
          <w:tcPr>
            <w:tcW w:w="1488" w:type="pct"/>
            <w:shd w:val="clear" w:color="auto" w:fill="auto"/>
            <w:vAlign w:val="bottom"/>
            <w:hideMark/>
          </w:tcPr>
          <w:p w:rsidR="00B14414" w:rsidRPr="00B14414" w:rsidRDefault="00B14414" w:rsidP="00B14414">
            <w:pPr>
              <w:spacing w:line="240" w:lineRule="auto"/>
              <w:rPr>
                <w:rFonts w:eastAsia="Times New Roman"/>
                <w:color w:val="000000"/>
                <w:lang w:eastAsia="ja-JP"/>
              </w:rPr>
            </w:pPr>
            <w:r w:rsidRPr="00B14414">
              <w:rPr>
                <w:rFonts w:eastAsia="Times New Roman"/>
                <w:color w:val="000000"/>
                <w:lang w:eastAsia="ja-JP"/>
              </w:rPr>
              <w:t>NUOVI MOVIMENTI RELIGIOSI DI MATRICE ISLAMICA</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5</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1.20%</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3</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0.71%</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8</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0.95%</w:t>
            </w:r>
          </w:p>
        </w:tc>
      </w:tr>
      <w:tr w:rsidR="00B14414" w:rsidRPr="00B14414" w:rsidTr="00B14414">
        <w:trPr>
          <w:cantSplit/>
          <w:trHeight w:val="20"/>
        </w:trPr>
        <w:tc>
          <w:tcPr>
            <w:tcW w:w="1488" w:type="pct"/>
            <w:shd w:val="clear" w:color="auto" w:fill="auto"/>
            <w:vAlign w:val="bottom"/>
            <w:hideMark/>
          </w:tcPr>
          <w:p w:rsidR="00B14414" w:rsidRPr="00B14414" w:rsidRDefault="00B14414" w:rsidP="00B14414">
            <w:pPr>
              <w:spacing w:line="240" w:lineRule="auto"/>
              <w:rPr>
                <w:rFonts w:eastAsia="Times New Roman"/>
                <w:color w:val="000000"/>
                <w:lang w:eastAsia="ja-JP"/>
              </w:rPr>
            </w:pPr>
            <w:r w:rsidRPr="00B14414">
              <w:rPr>
                <w:rFonts w:eastAsia="Times New Roman"/>
                <w:color w:val="000000"/>
                <w:lang w:eastAsia="ja-JP"/>
              </w:rPr>
              <w:t>RELIGIONI TRADIZIONALI AFRICANE</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3</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0.72%</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4</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0.95%</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7</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0.83%</w:t>
            </w:r>
          </w:p>
        </w:tc>
      </w:tr>
      <w:tr w:rsidR="00B14414" w:rsidRPr="00B14414" w:rsidTr="00B14414">
        <w:trPr>
          <w:cantSplit/>
          <w:trHeight w:val="20"/>
        </w:trPr>
        <w:tc>
          <w:tcPr>
            <w:tcW w:w="1488" w:type="pct"/>
            <w:shd w:val="clear" w:color="auto" w:fill="auto"/>
            <w:vAlign w:val="bottom"/>
            <w:hideMark/>
          </w:tcPr>
          <w:p w:rsidR="00B14414" w:rsidRPr="00B14414" w:rsidRDefault="00B14414" w:rsidP="00B14414">
            <w:pPr>
              <w:spacing w:line="240" w:lineRule="auto"/>
              <w:rPr>
                <w:rFonts w:eastAsia="Times New Roman"/>
                <w:color w:val="000000"/>
                <w:lang w:eastAsia="ja-JP"/>
              </w:rPr>
            </w:pPr>
            <w:r w:rsidRPr="00B14414">
              <w:rPr>
                <w:rFonts w:eastAsia="Times New Roman"/>
                <w:color w:val="000000"/>
                <w:lang w:eastAsia="ja-JP"/>
              </w:rPr>
              <w:t>RELIGIONI TRADIZIONALI ASIATICHE</w:t>
            </w:r>
          </w:p>
        </w:tc>
        <w:tc>
          <w:tcPr>
            <w:tcW w:w="425"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180</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43.06%</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112</w:t>
            </w:r>
          </w:p>
        </w:tc>
        <w:tc>
          <w:tcPr>
            <w:tcW w:w="749"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26.60%</w:t>
            </w:r>
          </w:p>
        </w:tc>
        <w:tc>
          <w:tcPr>
            <w:tcW w:w="414"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292</w:t>
            </w:r>
          </w:p>
        </w:tc>
        <w:tc>
          <w:tcPr>
            <w:tcW w:w="760" w:type="pct"/>
            <w:shd w:val="clear" w:color="auto" w:fill="auto"/>
            <w:noWrap/>
            <w:vAlign w:val="center"/>
            <w:hideMark/>
          </w:tcPr>
          <w:p w:rsidR="00B14414" w:rsidRPr="00B14414" w:rsidRDefault="00B14414" w:rsidP="00B14414">
            <w:pPr>
              <w:spacing w:line="240" w:lineRule="auto"/>
              <w:jc w:val="center"/>
              <w:rPr>
                <w:rFonts w:eastAsia="Times New Roman"/>
                <w:color w:val="000000"/>
                <w:lang w:eastAsia="ja-JP"/>
              </w:rPr>
            </w:pPr>
            <w:r w:rsidRPr="00B14414">
              <w:rPr>
                <w:rFonts w:eastAsia="Times New Roman"/>
                <w:color w:val="000000"/>
                <w:lang w:eastAsia="ja-JP"/>
              </w:rPr>
              <w:t>34.80%</w:t>
            </w:r>
          </w:p>
        </w:tc>
      </w:tr>
      <w:tr w:rsidR="00B14414" w:rsidRPr="00B14414" w:rsidTr="00B14414">
        <w:trPr>
          <w:cantSplit/>
          <w:trHeight w:val="20"/>
        </w:trPr>
        <w:tc>
          <w:tcPr>
            <w:tcW w:w="1488" w:type="pct"/>
            <w:shd w:val="clear" w:color="auto" w:fill="auto"/>
            <w:noWrap/>
            <w:vAlign w:val="center"/>
            <w:hideMark/>
          </w:tcPr>
          <w:p w:rsidR="00B14414" w:rsidRPr="00E34E0B" w:rsidRDefault="00B14414" w:rsidP="00B14414">
            <w:pPr>
              <w:spacing w:line="240" w:lineRule="auto"/>
              <w:rPr>
                <w:rFonts w:eastAsia="Times New Roman"/>
                <w:b/>
                <w:color w:val="000000"/>
                <w:lang w:eastAsia="ja-JP"/>
              </w:rPr>
            </w:pPr>
            <w:r w:rsidRPr="00E34E0B">
              <w:rPr>
                <w:rFonts w:eastAsia="Times New Roman"/>
                <w:b/>
                <w:color w:val="000000"/>
                <w:lang w:eastAsia="ja-JP"/>
              </w:rPr>
              <w:t>TOT</w:t>
            </w:r>
          </w:p>
        </w:tc>
        <w:tc>
          <w:tcPr>
            <w:tcW w:w="425"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418</w:t>
            </w:r>
          </w:p>
        </w:tc>
        <w:tc>
          <w:tcPr>
            <w:tcW w:w="749"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100%</w:t>
            </w:r>
          </w:p>
        </w:tc>
        <w:tc>
          <w:tcPr>
            <w:tcW w:w="414"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421</w:t>
            </w:r>
          </w:p>
        </w:tc>
        <w:tc>
          <w:tcPr>
            <w:tcW w:w="749"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100%</w:t>
            </w:r>
          </w:p>
        </w:tc>
        <w:tc>
          <w:tcPr>
            <w:tcW w:w="414"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839</w:t>
            </w:r>
          </w:p>
        </w:tc>
        <w:tc>
          <w:tcPr>
            <w:tcW w:w="760" w:type="pct"/>
            <w:shd w:val="clear" w:color="auto" w:fill="auto"/>
            <w:noWrap/>
            <w:vAlign w:val="center"/>
            <w:hideMark/>
          </w:tcPr>
          <w:p w:rsidR="00B14414" w:rsidRPr="00E34E0B" w:rsidRDefault="00B14414" w:rsidP="00B14414">
            <w:pPr>
              <w:spacing w:line="240" w:lineRule="auto"/>
              <w:jc w:val="center"/>
              <w:rPr>
                <w:rFonts w:eastAsia="Times New Roman"/>
                <w:b/>
                <w:color w:val="000000"/>
                <w:lang w:eastAsia="ja-JP"/>
              </w:rPr>
            </w:pPr>
            <w:r w:rsidRPr="00E34E0B">
              <w:rPr>
                <w:rFonts w:eastAsia="Times New Roman"/>
                <w:b/>
                <w:color w:val="000000"/>
                <w:lang w:eastAsia="ja-JP"/>
              </w:rPr>
              <w:t>100%</w:t>
            </w:r>
          </w:p>
        </w:tc>
      </w:tr>
    </w:tbl>
    <w:p w:rsidR="00B14414" w:rsidRDefault="00B14414" w:rsidP="00CC0354">
      <w:pPr>
        <w:rPr>
          <w:sz w:val="28"/>
          <w:szCs w:val="28"/>
        </w:rPr>
      </w:pPr>
    </w:p>
    <w:p w:rsidR="00A206D7" w:rsidRPr="00B139F4" w:rsidRDefault="00A206D7" w:rsidP="00A206D7">
      <w:r w:rsidRPr="00B139F4">
        <w:t xml:space="preserve">Per quanto riguarda i matrimoni interreligiosi, il 45% </w:t>
      </w:r>
      <w:r w:rsidR="00FF1EB4" w:rsidRPr="00B139F4">
        <w:t xml:space="preserve">si celebra </w:t>
      </w:r>
      <w:r w:rsidRPr="00B139F4">
        <w:t>nel Centro, il 6% nelle isole, il 23% nel Nord Est, il 16% nel Nord Ovest e il 9% nel Sud.  Anche in</w:t>
      </w:r>
      <w:r>
        <w:rPr>
          <w:sz w:val="28"/>
          <w:szCs w:val="28"/>
        </w:rPr>
        <w:t xml:space="preserve"> </w:t>
      </w:r>
      <w:r w:rsidRPr="00B139F4">
        <w:t xml:space="preserve">questo caso si esplicita che la maggior parte dei matrimoni con il coniuge di altra religione diversa dalla cristiana si celebra al Centro e al Nord, in coerenza con la presenza di un maggior numero di immigrati in tale territorio. </w:t>
      </w:r>
    </w:p>
    <w:p w:rsidR="00CC0354" w:rsidRDefault="00CF0342" w:rsidP="00B139F4">
      <w:pPr>
        <w:rPr>
          <w:lang w:eastAsia="it-IT"/>
        </w:rPr>
      </w:pPr>
      <w:r w:rsidRPr="00CF0342">
        <w:t xml:space="preserve">Il maggior numero di </w:t>
      </w:r>
      <w:r w:rsidR="004E6F25">
        <w:t xml:space="preserve">questi </w:t>
      </w:r>
      <w:r w:rsidRPr="00CF0342">
        <w:rPr>
          <w:lang w:eastAsia="it-IT"/>
        </w:rPr>
        <w:t xml:space="preserve">matrimoni si segnalano </w:t>
      </w:r>
      <w:r w:rsidR="004E6F25">
        <w:rPr>
          <w:lang w:eastAsia="it-IT"/>
        </w:rPr>
        <w:t>nel</w:t>
      </w:r>
      <w:r w:rsidRPr="00CF0342">
        <w:rPr>
          <w:lang w:eastAsia="it-IT"/>
        </w:rPr>
        <w:t>le diocesi di: Roma (22%- 181), Firenze (7%-61), Bologna(6%- 52), Bergamo (4%-37), Ancona-Osimo (3%- 29), Genova (3%- 24), Parma (3%- 24), Vicenza (3%- 29), Venezia (3%- 24)</w:t>
      </w:r>
      <w:r w:rsidR="00E01534">
        <w:rPr>
          <w:lang w:eastAsia="it-IT"/>
        </w:rPr>
        <w:t>,</w:t>
      </w:r>
      <w:r w:rsidR="00E01534" w:rsidRPr="00E01534">
        <w:t xml:space="preserve"> </w:t>
      </w:r>
      <w:r w:rsidR="00E01534">
        <w:t>Parma 3% (24), Genova 3% (24), Cagliari 3% (21).</w:t>
      </w:r>
      <w:r w:rsidRPr="00CF0342">
        <w:rPr>
          <w:lang w:eastAsia="it-IT"/>
        </w:rPr>
        <w:t>.</w:t>
      </w:r>
    </w:p>
    <w:p w:rsidR="00D54EF7" w:rsidRDefault="006B5B25" w:rsidP="00B139F4">
      <w:pPr>
        <w:rPr>
          <w:rFonts w:eastAsia="Times New Roman" w:cs="Arial"/>
          <w:bCs/>
          <w:lang w:eastAsia="it-IT"/>
        </w:rPr>
      </w:pPr>
      <w:r>
        <w:t>Dall’analisi de</w:t>
      </w:r>
      <w:r w:rsidR="00D54EF7" w:rsidRPr="00D54EF7">
        <w:t xml:space="preserve">i dati complessivi delle richieste di licenza per matrimoni </w:t>
      </w:r>
      <w:r w:rsidR="00E34E0B">
        <w:t xml:space="preserve">interreligiosi, </w:t>
      </w:r>
      <w:r w:rsidR="00D54EF7" w:rsidRPr="00D54EF7">
        <w:t>si osserva una crescita progressiva dal 1999, in cui sono stat</w:t>
      </w:r>
      <w:r w:rsidR="00E34E0B">
        <w:t>i</w:t>
      </w:r>
      <w:r w:rsidR="00D54EF7" w:rsidRPr="00D54EF7">
        <w:t xml:space="preserve"> 478 (7%) ai 712 (11%) del 2008, con una netta prevalenza di matrimoni con donne, che sono quasi raddoppiate dal 7% nel 1999 al 12% del 2008. </w:t>
      </w:r>
      <w:r w:rsidR="00D54EF7" w:rsidRPr="006246B3">
        <w:t xml:space="preserve">  </w:t>
      </w:r>
    </w:p>
    <w:p w:rsidR="00CC0354" w:rsidRDefault="00CC0354" w:rsidP="00CC0354">
      <w:pPr>
        <w:spacing w:line="240" w:lineRule="auto"/>
        <w:rPr>
          <w:rFonts w:eastAsia="Times New Roman" w:cs="Arial"/>
          <w:bCs/>
          <w:sz w:val="28"/>
          <w:szCs w:val="28"/>
          <w:lang w:eastAsia="it-IT"/>
        </w:rPr>
      </w:pPr>
    </w:p>
    <w:p w:rsidR="00883EBA" w:rsidRDefault="00B139F4" w:rsidP="00883EBA">
      <w:pPr>
        <w:pStyle w:val="Titolo2"/>
      </w:pPr>
      <w:r>
        <w:lastRenderedPageBreak/>
        <w:t xml:space="preserve">5.2 </w:t>
      </w:r>
      <w:r w:rsidR="00CD3D08" w:rsidRPr="00EA2955">
        <w:t>I m</w:t>
      </w:r>
      <w:r w:rsidR="00EF3145" w:rsidRPr="00EA2955">
        <w:t>atrimoni con musulman</w:t>
      </w:r>
      <w:r w:rsidR="0049481F" w:rsidRPr="00EA2955">
        <w:t>e/</w:t>
      </w:r>
      <w:r w:rsidR="00EF3145" w:rsidRPr="00EA2955">
        <w:t>i</w:t>
      </w:r>
    </w:p>
    <w:p w:rsidR="00883EBA" w:rsidRPr="00883EBA" w:rsidRDefault="00883EBA" w:rsidP="00883EBA"/>
    <w:p w:rsidR="00CF4E93" w:rsidRDefault="00CF4E93" w:rsidP="00B139F4">
      <w:r w:rsidRPr="00961D67">
        <w:t>La prima</w:t>
      </w:r>
      <w:r>
        <w:t xml:space="preserve"> evidenza che emerge nel contesto </w:t>
      </w:r>
      <w:r w:rsidR="00130159">
        <w:t xml:space="preserve">di matrimoni interreligiosi </w:t>
      </w:r>
      <w:r>
        <w:t xml:space="preserve">è che </w:t>
      </w:r>
      <w:r w:rsidR="00130159">
        <w:t>preval</w:t>
      </w:r>
      <w:r w:rsidR="00D402F9">
        <w:t xml:space="preserve">gono </w:t>
      </w:r>
      <w:r w:rsidR="00EF3145">
        <w:t>i matrimoni con musulman</w:t>
      </w:r>
      <w:r w:rsidR="00724B63">
        <w:t>e/</w:t>
      </w:r>
      <w:r w:rsidR="00EF3145">
        <w:t>i</w:t>
      </w:r>
      <w:r w:rsidR="001A40A5">
        <w:t xml:space="preserve">, che risultano essere complessivamente </w:t>
      </w:r>
      <w:r w:rsidR="00EF3145">
        <w:t>433</w:t>
      </w:r>
      <w:r w:rsidR="00CC0354">
        <w:t xml:space="preserve">, pari al </w:t>
      </w:r>
      <w:r w:rsidR="00D54EF7" w:rsidRPr="00EA2955">
        <w:t>5</w:t>
      </w:r>
      <w:r w:rsidR="00EA2955" w:rsidRPr="00EA2955">
        <w:t>2</w:t>
      </w:r>
      <w:r w:rsidR="00D54EF7" w:rsidRPr="00EA2955">
        <w:t>%</w:t>
      </w:r>
      <w:r w:rsidR="00EF3145" w:rsidRPr="00EA2955">
        <w:t>.</w:t>
      </w:r>
      <w:r w:rsidR="00EF3145">
        <w:t xml:space="preserve"> Di questi</w:t>
      </w:r>
      <w:r w:rsidR="00130159">
        <w:t>,</w:t>
      </w:r>
      <w:r w:rsidR="00EF3145">
        <w:t xml:space="preserve"> </w:t>
      </w:r>
      <w:r w:rsidR="007A3BB0">
        <w:t xml:space="preserve">gli </w:t>
      </w:r>
      <w:r w:rsidR="00EF3145">
        <w:t xml:space="preserve">uomini </w:t>
      </w:r>
      <w:r w:rsidR="001A40A5">
        <w:t xml:space="preserve">cattolici </w:t>
      </w:r>
      <w:r w:rsidR="00EF3145">
        <w:t xml:space="preserve">hanno sposato 187 donne musulmane </w:t>
      </w:r>
      <w:r w:rsidR="00724B63">
        <w:t xml:space="preserve">mentre </w:t>
      </w:r>
      <w:r w:rsidR="00130159">
        <w:t>246</w:t>
      </w:r>
      <w:r w:rsidR="00EF3145">
        <w:t xml:space="preserve"> donne </w:t>
      </w:r>
      <w:r w:rsidR="001A40A5">
        <w:t xml:space="preserve">cattoliche </w:t>
      </w:r>
      <w:r w:rsidR="00EF3145">
        <w:t xml:space="preserve">hanno sposato uomini musulmani. </w:t>
      </w:r>
    </w:p>
    <w:p w:rsidR="001A40A5" w:rsidRPr="00B139F4" w:rsidRDefault="001A40A5" w:rsidP="00B139F4">
      <w:r>
        <w:t xml:space="preserve">Questi dati sono in sintonia con quanto </w:t>
      </w:r>
      <w:r w:rsidR="00CF4E93">
        <w:t xml:space="preserve">viene </w:t>
      </w:r>
      <w:r>
        <w:t>rilevato anche a proposito dei matrimoni civili e delle unioni di fatto e con la consistenza del fenomeno migratorio italiano, nel quale prevalgono immigrati musulmani.</w:t>
      </w:r>
      <w:r w:rsidR="00D402F9">
        <w:t xml:space="preserve"> </w:t>
      </w:r>
      <w:r w:rsidR="008C086C">
        <w:t xml:space="preserve">In </w:t>
      </w:r>
      <w:r>
        <w:t>particolare è da rilevare che è aumentato il numero delle donne musulmane che sposano uomini cattolici, evidenziando un cambiamento non indifferente nel costume, in considerazione del divieto esistente per la donna musulmana di sposare un cattolico. Ciò assume un rilievo particolare anche per il fatto che dal</w:t>
      </w:r>
      <w:r w:rsidR="00E24D76">
        <w:t xml:space="preserve"> 2000 </w:t>
      </w:r>
      <w:r w:rsidR="008C086C">
        <w:t>l</w:t>
      </w:r>
      <w:r>
        <w:t>a presenza di musulmani immigrati nel territorio italiano è diminuita</w:t>
      </w:r>
      <w:r w:rsidR="00E24D76">
        <w:t xml:space="preserve">, passando dal 38% al </w:t>
      </w:r>
      <w:r w:rsidR="00F865D6">
        <w:t>33%</w:t>
      </w:r>
      <w:r w:rsidR="00E24D76">
        <w:t xml:space="preserve"> pari a </w:t>
      </w:r>
      <w:r w:rsidR="00F865D6">
        <w:t>1.650.000</w:t>
      </w:r>
      <w:r w:rsidR="00E24D76">
        <w:t xml:space="preserve"> unità nel 2011, </w:t>
      </w:r>
      <w:r>
        <w:t xml:space="preserve">anche </w:t>
      </w:r>
      <w:r w:rsidR="00724B63">
        <w:t xml:space="preserve">se </w:t>
      </w:r>
      <w:r w:rsidR="00E24D76" w:rsidRPr="00B139F4">
        <w:t xml:space="preserve">permane </w:t>
      </w:r>
      <w:r w:rsidR="00724B63" w:rsidRPr="00B139F4">
        <w:t xml:space="preserve">una mentalità diffusa tra </w:t>
      </w:r>
      <w:r w:rsidR="008C086C" w:rsidRPr="00B139F4">
        <w:t xml:space="preserve">gli italiani </w:t>
      </w:r>
      <w:r w:rsidR="00724B63" w:rsidRPr="00B139F4">
        <w:t xml:space="preserve">che </w:t>
      </w:r>
      <w:r w:rsidR="008C086C" w:rsidRPr="00B139F4">
        <w:t xml:space="preserve">ritengono il contrario, perché, </w:t>
      </w:r>
      <w:r w:rsidRPr="00B139F4">
        <w:t xml:space="preserve">a livello mediatico </w:t>
      </w:r>
      <w:r w:rsidR="008C086C" w:rsidRPr="00B139F4">
        <w:t xml:space="preserve">si assiste ad una </w:t>
      </w:r>
      <w:r w:rsidRPr="00B139F4">
        <w:t xml:space="preserve">sovraesposizione del fenomeno. Ciò non toglie che prevale ancora </w:t>
      </w:r>
      <w:r w:rsidR="008C086C" w:rsidRPr="00B139F4">
        <w:t xml:space="preserve">il costume della </w:t>
      </w:r>
      <w:r w:rsidRPr="00B139F4">
        <w:t>donna cattolica che sposa un musulmano (24</w:t>
      </w:r>
      <w:r w:rsidR="00694938" w:rsidRPr="00B139F4">
        <w:t>6</w:t>
      </w:r>
      <w:r w:rsidRPr="00B139F4">
        <w:t xml:space="preserve">). </w:t>
      </w:r>
    </w:p>
    <w:p w:rsidR="00EE567A" w:rsidRDefault="00694938" w:rsidP="00B139F4">
      <w:r>
        <w:t xml:space="preserve">È da segnalare, sebbene </w:t>
      </w:r>
      <w:r w:rsidR="008C086C">
        <w:t>n</w:t>
      </w:r>
      <w:r w:rsidR="00EE567A">
        <w:t xml:space="preserve">on </w:t>
      </w:r>
      <w:r>
        <w:t xml:space="preserve">sia </w:t>
      </w:r>
      <w:r w:rsidR="00EE567A">
        <w:t>una presenza significativa ma è un dato in ascesa</w:t>
      </w:r>
      <w:r w:rsidR="008C086C">
        <w:t xml:space="preserve">, </w:t>
      </w:r>
      <w:r w:rsidR="00EE567A">
        <w:t>che dal 2002 si registrano richieste di dispense per matrimoni con musulmane (2,67%) e musulmani (1,63%)</w:t>
      </w:r>
      <w:r w:rsidR="008C086C">
        <w:t xml:space="preserve"> di nazionalità italiana</w:t>
      </w:r>
      <w:r w:rsidR="00EE567A">
        <w:t xml:space="preserve">. </w:t>
      </w:r>
      <w:r w:rsidR="008C086C">
        <w:t xml:space="preserve">I dati non ci dicono altro. </w:t>
      </w:r>
      <w:r w:rsidR="00EE567A">
        <w:t xml:space="preserve"> </w:t>
      </w:r>
    </w:p>
    <w:p w:rsidR="001A40A5" w:rsidRDefault="00694938" w:rsidP="00B139F4">
      <w:r>
        <w:t xml:space="preserve">Rispetto alla </w:t>
      </w:r>
      <w:r w:rsidR="00CF4E93" w:rsidRPr="00E24D76">
        <w:t xml:space="preserve">nazionalità </w:t>
      </w:r>
      <w:r w:rsidR="00CF4E93">
        <w:t xml:space="preserve">di provenienza </w:t>
      </w:r>
      <w:r w:rsidR="00ED3ACF">
        <w:t>dei musulmani l</w:t>
      </w:r>
      <w:r w:rsidR="00CF4E93">
        <w:t xml:space="preserve">e prime </w:t>
      </w:r>
      <w:r w:rsidR="001A40A5">
        <w:t xml:space="preserve"> </w:t>
      </w:r>
      <w:r w:rsidR="007F7D2F">
        <w:t>quattro nazion</w:t>
      </w:r>
      <w:r>
        <w:t xml:space="preserve">i </w:t>
      </w:r>
      <w:r w:rsidR="001A40A5">
        <w:t xml:space="preserve">di provenienza degli sposi </w:t>
      </w:r>
      <w:r w:rsidR="007F7D2F">
        <w:t xml:space="preserve">sono </w:t>
      </w:r>
      <w:r w:rsidR="001A40A5">
        <w:t>l’Albania (21% ), il Marocco (1</w:t>
      </w:r>
      <w:r w:rsidR="007F7D2F">
        <w:t>7%</w:t>
      </w:r>
      <w:r w:rsidR="001A40A5">
        <w:t>)</w:t>
      </w:r>
      <w:r w:rsidR="007F7D2F">
        <w:t xml:space="preserve">, la Tunisia </w:t>
      </w:r>
      <w:r w:rsidR="001A40A5">
        <w:t>(1</w:t>
      </w:r>
      <w:r w:rsidR="007F7D2F">
        <w:t>4</w:t>
      </w:r>
      <w:r w:rsidR="001A40A5">
        <w:t>%)</w:t>
      </w:r>
      <w:r w:rsidR="007F7D2F">
        <w:t xml:space="preserve"> e l’Algeria (6 %)</w:t>
      </w:r>
      <w:r w:rsidR="001A40A5">
        <w:t>, sebbene l’andamento storico di queste  nazioni non proceda in maniera lineare</w:t>
      </w:r>
      <w:r w:rsidR="00CF4E93">
        <w:t xml:space="preserve"> nei dieci anni presi in considerazione</w:t>
      </w:r>
      <w:r w:rsidR="001A40A5">
        <w:t>.</w:t>
      </w:r>
    </w:p>
    <w:p w:rsidR="00883EBA" w:rsidRDefault="00883EBA" w:rsidP="00B139F4"/>
    <w:p w:rsidR="00694938" w:rsidRPr="00D2584C" w:rsidRDefault="00694938" w:rsidP="00B139F4">
      <w:pPr>
        <w:rPr>
          <w:b/>
        </w:rPr>
      </w:pPr>
      <w:proofErr w:type="spellStart"/>
      <w:r w:rsidRPr="00D2584C">
        <w:rPr>
          <w:b/>
        </w:rPr>
        <w:t>Tab</w:t>
      </w:r>
      <w:proofErr w:type="spellEnd"/>
      <w:r w:rsidRPr="00D2584C">
        <w:rPr>
          <w:b/>
        </w:rPr>
        <w:t xml:space="preserve">. n.  </w:t>
      </w:r>
      <w:r w:rsidR="00CC0354" w:rsidRPr="00D2584C">
        <w:rPr>
          <w:b/>
        </w:rPr>
        <w:t xml:space="preserve">9. </w:t>
      </w:r>
      <w:r w:rsidRPr="00D2584C">
        <w:rPr>
          <w:b/>
        </w:rPr>
        <w:t xml:space="preserve">Matrimoni interreligiosi con musulmani </w:t>
      </w:r>
      <w:r w:rsidR="009322B6">
        <w:rPr>
          <w:b/>
        </w:rPr>
        <w:t xml:space="preserve">per </w:t>
      </w:r>
      <w:r w:rsidRPr="00D2584C">
        <w:rPr>
          <w:b/>
        </w:rPr>
        <w:t xml:space="preserve">nazionalità e </w:t>
      </w:r>
      <w:r w:rsidR="00754598" w:rsidRPr="00D2584C">
        <w:rPr>
          <w:b/>
        </w:rPr>
        <w:t>genere</w:t>
      </w:r>
      <w:r w:rsidRPr="00D2584C">
        <w:rPr>
          <w:b/>
        </w:rPr>
        <w:t xml:space="preserve"> (le prime 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1"/>
        <w:gridCol w:w="892"/>
        <w:gridCol w:w="1482"/>
        <w:gridCol w:w="892"/>
        <w:gridCol w:w="1482"/>
        <w:gridCol w:w="892"/>
        <w:gridCol w:w="1537"/>
      </w:tblGrid>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Pr="00D24B99" w:rsidRDefault="007F7D2F">
            <w:pPr>
              <w:rPr>
                <w:lang w:bidi="en-US"/>
              </w:rPr>
            </w:pP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F</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M</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T</w:t>
            </w:r>
          </w:p>
        </w:tc>
      </w:tr>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Nazione</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V.A.</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V.A.</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V.A.</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b/>
                <w:bCs/>
                <w:color w:val="000000"/>
                <w:sz w:val="20"/>
                <w:szCs w:val="20"/>
                <w:lang w:eastAsia="ja-JP"/>
              </w:rPr>
            </w:pPr>
            <w:r>
              <w:rPr>
                <w:rFonts w:eastAsia="Times New Roman"/>
                <w:b/>
                <w:bCs/>
                <w:color w:val="000000"/>
                <w:sz w:val="20"/>
                <w:szCs w:val="20"/>
                <w:lang w:eastAsia="ja-JP"/>
              </w:rPr>
              <w:t>%</w:t>
            </w:r>
          </w:p>
        </w:tc>
      </w:tr>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rPr>
                <w:rFonts w:eastAsia="Times New Roman"/>
                <w:color w:val="000000"/>
                <w:sz w:val="20"/>
                <w:szCs w:val="20"/>
                <w:lang w:eastAsia="ja-JP"/>
              </w:rPr>
            </w:pPr>
            <w:r>
              <w:rPr>
                <w:rFonts w:eastAsia="Times New Roman"/>
                <w:color w:val="000000"/>
                <w:sz w:val="20"/>
                <w:szCs w:val="20"/>
                <w:lang w:eastAsia="ja-JP"/>
              </w:rPr>
              <w:t>Albania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53</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28.34%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40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16.26%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93</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21.48%</w:t>
            </w:r>
          </w:p>
        </w:tc>
      </w:tr>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rPr>
                <w:rFonts w:eastAsia="Times New Roman"/>
                <w:color w:val="000000"/>
                <w:sz w:val="20"/>
                <w:szCs w:val="20"/>
                <w:lang w:eastAsia="ja-JP"/>
              </w:rPr>
            </w:pPr>
            <w:r>
              <w:rPr>
                <w:rFonts w:eastAsia="Times New Roman"/>
                <w:color w:val="000000"/>
                <w:sz w:val="20"/>
                <w:szCs w:val="20"/>
                <w:lang w:eastAsia="ja-JP"/>
              </w:rPr>
              <w:t>Marocco</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32</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17.11%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40</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16.26%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72</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16.63%</w:t>
            </w:r>
          </w:p>
        </w:tc>
      </w:tr>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rPr>
                <w:rFonts w:eastAsia="Times New Roman"/>
                <w:color w:val="000000"/>
                <w:sz w:val="20"/>
                <w:szCs w:val="20"/>
                <w:lang w:eastAsia="ja-JP"/>
              </w:rPr>
            </w:pPr>
            <w:r>
              <w:rPr>
                <w:rFonts w:eastAsia="Times New Roman"/>
                <w:color w:val="000000"/>
                <w:sz w:val="20"/>
                <w:szCs w:val="20"/>
                <w:lang w:eastAsia="ja-JP"/>
              </w:rPr>
              <w:t>Tunisia</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18</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9.63%</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41</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16.67%</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59</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13.63%</w:t>
            </w:r>
          </w:p>
        </w:tc>
      </w:tr>
      <w:tr w:rsidR="007F7D2F" w:rsidTr="00EA2955">
        <w:trPr>
          <w:trHeight w:val="20"/>
          <w:jc w:val="center"/>
        </w:trPr>
        <w:tc>
          <w:tcPr>
            <w:tcW w:w="133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4938" w:rsidRDefault="00E24D76">
            <w:pPr>
              <w:spacing w:line="240" w:lineRule="auto"/>
              <w:rPr>
                <w:rFonts w:eastAsia="Times New Roman"/>
                <w:color w:val="000000"/>
                <w:sz w:val="20"/>
                <w:szCs w:val="20"/>
                <w:lang w:eastAsia="ja-JP"/>
              </w:rPr>
            </w:pPr>
            <w:r>
              <w:rPr>
                <w:rFonts w:eastAsia="Times New Roman"/>
                <w:color w:val="000000"/>
                <w:sz w:val="20"/>
                <w:szCs w:val="20"/>
                <w:lang w:eastAsia="ja-JP"/>
              </w:rPr>
              <w:t xml:space="preserve">Algeria </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8</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4.28%</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14</w:t>
            </w:r>
          </w:p>
        </w:tc>
        <w:tc>
          <w:tcPr>
            <w:tcW w:w="7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5.69%</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22</w:t>
            </w:r>
          </w:p>
        </w:tc>
        <w:tc>
          <w:tcPr>
            <w:tcW w:w="7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7D2F" w:rsidRDefault="007F7D2F">
            <w:pPr>
              <w:spacing w:line="240" w:lineRule="auto"/>
              <w:jc w:val="center"/>
              <w:rPr>
                <w:rFonts w:eastAsia="Times New Roman"/>
                <w:color w:val="000000"/>
                <w:sz w:val="20"/>
                <w:szCs w:val="20"/>
                <w:lang w:eastAsia="ja-JP"/>
              </w:rPr>
            </w:pPr>
            <w:r>
              <w:rPr>
                <w:rFonts w:eastAsia="Times New Roman"/>
                <w:color w:val="000000"/>
                <w:sz w:val="20"/>
                <w:szCs w:val="20"/>
                <w:lang w:eastAsia="ja-JP"/>
              </w:rPr>
              <w:t>5.08%</w:t>
            </w:r>
          </w:p>
        </w:tc>
      </w:tr>
    </w:tbl>
    <w:p w:rsidR="008A2AF1" w:rsidRDefault="008A2AF1" w:rsidP="00694938">
      <w:pPr>
        <w:jc w:val="center"/>
        <w:rPr>
          <w:noProof/>
          <w:lang w:eastAsia="it-IT"/>
        </w:rPr>
      </w:pPr>
    </w:p>
    <w:p w:rsidR="007A3BB0" w:rsidRDefault="00694938" w:rsidP="00B139F4">
      <w:r>
        <w:lastRenderedPageBreak/>
        <w:t>Sul piano della nazionalità</w:t>
      </w:r>
      <w:r w:rsidR="007A3BB0">
        <w:t xml:space="preserve"> si conferma</w:t>
      </w:r>
      <w:r>
        <w:t>,</w:t>
      </w:r>
      <w:r w:rsidR="007A3BB0">
        <w:t xml:space="preserve"> </w:t>
      </w:r>
      <w:r w:rsidR="00CF4E93">
        <w:t>pertanto</w:t>
      </w:r>
      <w:r>
        <w:t>,</w:t>
      </w:r>
      <w:r w:rsidR="00CF4E93">
        <w:t xml:space="preserve"> </w:t>
      </w:r>
      <w:r w:rsidR="007A3BB0">
        <w:t xml:space="preserve">quanto affermato nella rilevazione del 1994-1998; sono ancora presenti i paesi del nord Africa ma al primo posto si colloca l’Albania (che era già aumentata) e </w:t>
      </w:r>
      <w:r>
        <w:t xml:space="preserve">altri paesi </w:t>
      </w:r>
      <w:r w:rsidR="007A3BB0">
        <w:t xml:space="preserve">dell’area balcanica. In particolare si evidenzia che sono soprattutto uomini cattolici che sposano donne musulmane di nazionalità albanese nella misura del 28,34% rispetto alle donne cattoliche che sposano uomini albanesi (16,26%), mentre le donne cattoliche sposano soprattutto musulmani tunisini (16,67%) rispetto agli uomini cattolici che sposano musulmane tunisine (9,63%). </w:t>
      </w:r>
    </w:p>
    <w:p w:rsidR="00554072" w:rsidRDefault="00CF670C" w:rsidP="00B139F4">
      <w:r>
        <w:t xml:space="preserve">È chiaro che questi dati non possono dirci nulla sulla </w:t>
      </w:r>
      <w:r w:rsidR="005145A3">
        <w:t xml:space="preserve">qualità della </w:t>
      </w:r>
      <w:r>
        <w:t xml:space="preserve">religione della sposa/o di religione musulmana, se non quello che già conosciamo </w:t>
      </w:r>
      <w:r w:rsidR="00694938">
        <w:t xml:space="preserve">da </w:t>
      </w:r>
      <w:r>
        <w:t>altre</w:t>
      </w:r>
      <w:r w:rsidR="00694938">
        <w:t xml:space="preserve"> fonti</w:t>
      </w:r>
      <w:r w:rsidR="004E6F25">
        <w:t>; non esiste un I</w:t>
      </w:r>
      <w:r>
        <w:t xml:space="preserve">slam </w:t>
      </w:r>
      <w:r w:rsidR="005145A3">
        <w:t xml:space="preserve">omogeneo </w:t>
      </w:r>
      <w:r>
        <w:t xml:space="preserve">ma </w:t>
      </w:r>
      <w:r w:rsidR="005145A3">
        <w:t xml:space="preserve">ci sono </w:t>
      </w:r>
      <w:r>
        <w:t xml:space="preserve">tanti </w:t>
      </w:r>
      <w:r w:rsidR="005145A3">
        <w:t xml:space="preserve">islam </w:t>
      </w:r>
      <w:r>
        <w:t xml:space="preserve">e che quello albanese è diverso da quello dei paesi del nord Africa e da quello dell’Asia. </w:t>
      </w:r>
      <w:r w:rsidR="005145A3">
        <w:t>L</w:t>
      </w:r>
      <w:r>
        <w:t>’unica osservazione che</w:t>
      </w:r>
      <w:r w:rsidR="005145A3">
        <w:t xml:space="preserve"> ci sembra legittima è </w:t>
      </w:r>
      <w:r>
        <w:t xml:space="preserve">che entrambi i richiedenti hanno un’appartenenza religiosa che </w:t>
      </w:r>
      <w:r w:rsidR="005145A3">
        <w:t xml:space="preserve">desiderano </w:t>
      </w:r>
      <w:r>
        <w:t xml:space="preserve">mantenere </w:t>
      </w:r>
      <w:r w:rsidR="005145A3">
        <w:t xml:space="preserve">nel </w:t>
      </w:r>
      <w:r>
        <w:t xml:space="preserve">loro matrimonio, data la difficoltà (se non altro burocratica) che un matrimonio misto comporta. </w:t>
      </w:r>
      <w:r w:rsidR="00344BBA">
        <w:t xml:space="preserve">Ma questo vale per tutte le tipologie di matrimoni che stiamo analizzando. </w:t>
      </w:r>
      <w:r>
        <w:t xml:space="preserve">  </w:t>
      </w:r>
    </w:p>
    <w:p w:rsidR="008629F9" w:rsidRDefault="00252303" w:rsidP="00B139F4">
      <w:r>
        <w:t>Rispetto alla precedente rilevazione</w:t>
      </w:r>
      <w:r w:rsidR="00344BBA">
        <w:t xml:space="preserve"> 1995-1998</w:t>
      </w:r>
      <w:r>
        <w:t>, le richieste di dispense con musulmani sembrano diminuite.</w:t>
      </w:r>
      <w:r w:rsidR="008738FE">
        <w:t xml:space="preserve"> </w:t>
      </w:r>
      <w:r w:rsidR="004E6F25">
        <w:t>Infatti n</w:t>
      </w:r>
      <w:r w:rsidR="008629F9">
        <w:t>el decennio 1999-2008 non si osserva una crescita di matrimoni con musulmani e i valori subiscono lievi oscillazioni</w:t>
      </w:r>
      <w:r w:rsidR="00344BBA">
        <w:t>, dato che si può attribuire alla diminuzione della popolazione musulmana immigrata.</w:t>
      </w:r>
      <w:r w:rsidR="008629F9">
        <w:t xml:space="preserve">  </w:t>
      </w:r>
    </w:p>
    <w:p w:rsidR="00CF670C" w:rsidRDefault="008629F9" w:rsidP="00B139F4">
      <w:r>
        <w:t xml:space="preserve">L’andamento è condizionato anche da situazioni contingenti </w:t>
      </w:r>
      <w:r w:rsidR="00FD2B96">
        <w:t>legate alle problematiche delle nazioni di provenienza. Infatti nella precedente ri</w:t>
      </w:r>
      <w:r>
        <w:t xml:space="preserve">levazione si registrava una prevalenza di musulmani provenienti dal Marocco e dalla Tunisia, con una concentrazione di richieste di dispense di matrimonio con </w:t>
      </w:r>
      <w:r w:rsidR="002C3074">
        <w:t xml:space="preserve">musulmani maschi </w:t>
      </w:r>
      <w:r>
        <w:t>provenienti dall’Iran</w:t>
      </w:r>
      <w:r w:rsidR="002C3074">
        <w:t xml:space="preserve"> nel 1997</w:t>
      </w:r>
      <w:r w:rsidR="00E24D76">
        <w:t>,</w:t>
      </w:r>
      <w:r>
        <w:t xml:space="preserve"> nel decennio successivo </w:t>
      </w:r>
      <w:r w:rsidR="0023339E">
        <w:t xml:space="preserve">è aumentata notevolmente la </w:t>
      </w:r>
      <w:r w:rsidR="002C3074">
        <w:t xml:space="preserve">provenienza </w:t>
      </w:r>
      <w:r w:rsidR="0023339E">
        <w:t xml:space="preserve">dall’Albania, pur permanendo quella dei </w:t>
      </w:r>
      <w:r w:rsidR="00FD2B96">
        <w:t xml:space="preserve">tre </w:t>
      </w:r>
      <w:r w:rsidR="0023339E">
        <w:t>paesi del nord Africa (Marocco</w:t>
      </w:r>
      <w:r w:rsidR="00FD2B96">
        <w:t xml:space="preserve">, </w:t>
      </w:r>
      <w:r w:rsidR="0023339E">
        <w:t>Tunisia</w:t>
      </w:r>
      <w:r w:rsidR="00FD2B96">
        <w:t xml:space="preserve"> ed Algeria</w:t>
      </w:r>
      <w:r w:rsidR="0023339E">
        <w:t xml:space="preserve">). </w:t>
      </w:r>
    </w:p>
    <w:p w:rsidR="0023339E" w:rsidRDefault="0023339E" w:rsidP="004E0C97">
      <w:pPr>
        <w:rPr>
          <w:sz w:val="28"/>
          <w:szCs w:val="28"/>
        </w:rPr>
      </w:pPr>
    </w:p>
    <w:p w:rsidR="0080176A" w:rsidRPr="006618C9" w:rsidRDefault="00B139F4" w:rsidP="00B139F4">
      <w:pPr>
        <w:pStyle w:val="Titolo2"/>
      </w:pPr>
      <w:r>
        <w:t xml:space="preserve">5.2 </w:t>
      </w:r>
      <w:r w:rsidR="00F865D6" w:rsidRPr="006618C9">
        <w:t>I m</w:t>
      </w:r>
      <w:r w:rsidR="0080176A" w:rsidRPr="006618C9">
        <w:t>atrimoni con Ebre</w:t>
      </w:r>
      <w:r w:rsidR="00A87D1E" w:rsidRPr="006618C9">
        <w:t>e/</w:t>
      </w:r>
      <w:r w:rsidR="0080176A" w:rsidRPr="006618C9">
        <w:t>i</w:t>
      </w:r>
    </w:p>
    <w:p w:rsidR="007A3BB0" w:rsidRDefault="0080176A" w:rsidP="00B139F4">
      <w:r w:rsidRPr="0080176A">
        <w:t xml:space="preserve">Coerentemente </w:t>
      </w:r>
      <w:r>
        <w:t xml:space="preserve">con </w:t>
      </w:r>
      <w:r w:rsidR="00E85993">
        <w:t xml:space="preserve">la esigua presenza degli ebrei </w:t>
      </w:r>
      <w:r w:rsidR="00D673BB">
        <w:t>nel territorio italiano</w:t>
      </w:r>
      <w:r w:rsidR="00FB7609">
        <w:t>, che sono 7.300 (0,1%)</w:t>
      </w:r>
      <w:r w:rsidR="00E85993">
        <w:t xml:space="preserve">, </w:t>
      </w:r>
      <w:r w:rsidR="00D673BB">
        <w:t xml:space="preserve">anche </w:t>
      </w:r>
      <w:r w:rsidR="00E85993">
        <w:t xml:space="preserve">le richieste di matrimoni con </w:t>
      </w:r>
      <w:r w:rsidR="00E87985">
        <w:t xml:space="preserve">sposa/o </w:t>
      </w:r>
      <w:r w:rsidR="00E85993">
        <w:t xml:space="preserve">ebrei sono complessivamente 99, di cui </w:t>
      </w:r>
      <w:r w:rsidR="00D673BB">
        <w:t xml:space="preserve"> 43 hanno sposato </w:t>
      </w:r>
      <w:r w:rsidR="00E85993">
        <w:t>donne ebree</w:t>
      </w:r>
      <w:r w:rsidR="00D673BB">
        <w:t xml:space="preserve"> </w:t>
      </w:r>
      <w:r w:rsidR="00E85993">
        <w:t xml:space="preserve">e 56 </w:t>
      </w:r>
      <w:r w:rsidR="00241278">
        <w:t xml:space="preserve">cattoliche </w:t>
      </w:r>
      <w:r w:rsidR="00E85993">
        <w:t xml:space="preserve">hanno sposato uomini </w:t>
      </w:r>
      <w:r>
        <w:t>ebrei</w:t>
      </w:r>
      <w:r w:rsidR="00E85993">
        <w:t xml:space="preserve">. </w:t>
      </w:r>
    </w:p>
    <w:p w:rsidR="00A87D1E" w:rsidRDefault="004E0C97" w:rsidP="00B139F4">
      <w:r>
        <w:t>L</w:t>
      </w:r>
      <w:r w:rsidR="00241278">
        <w:t>’</w:t>
      </w:r>
      <w:r>
        <w:t>a</w:t>
      </w:r>
      <w:r w:rsidR="00241278">
        <w:t>nalisi del P</w:t>
      </w:r>
      <w:r>
        <w:t xml:space="preserve">aese di provenienza ci </w:t>
      </w:r>
      <w:r w:rsidR="00241278">
        <w:t xml:space="preserve">dice </w:t>
      </w:r>
      <w:r>
        <w:t>di un tipo di matrimoni che non coinvolge il mondo dell’immigrazione vera e propria</w:t>
      </w:r>
      <w:r w:rsidR="00A87D1E">
        <w:t>,</w:t>
      </w:r>
      <w:r>
        <w:t xml:space="preserve"> come rilevato prima</w:t>
      </w:r>
      <w:r w:rsidR="00A87D1E">
        <w:t>,</w:t>
      </w:r>
      <w:r>
        <w:t xml:space="preserve"> quanto di dispense richieste tra cittadin</w:t>
      </w:r>
      <w:r w:rsidR="0079116C">
        <w:t>e/</w:t>
      </w:r>
      <w:r>
        <w:t xml:space="preserve">i </w:t>
      </w:r>
      <w:r w:rsidR="00A87D1E">
        <w:lastRenderedPageBreak/>
        <w:t xml:space="preserve">italiani </w:t>
      </w:r>
      <w:r>
        <w:t>(</w:t>
      </w:r>
      <w:r w:rsidR="00A87D1E">
        <w:t xml:space="preserve">che </w:t>
      </w:r>
      <w:r>
        <w:t xml:space="preserve">hanno sposato </w:t>
      </w:r>
      <w:r w:rsidR="00A87D1E">
        <w:t>per il 4</w:t>
      </w:r>
      <w:r w:rsidR="00D673BB">
        <w:t>3</w:t>
      </w:r>
      <w:r w:rsidR="00A87D1E">
        <w:t>% uomini e  per il 2</w:t>
      </w:r>
      <w:r w:rsidR="00D673BB">
        <w:t>8</w:t>
      </w:r>
      <w:r w:rsidR="00A87D1E">
        <w:t xml:space="preserve">% </w:t>
      </w:r>
      <w:r>
        <w:t>donne</w:t>
      </w:r>
      <w:r w:rsidR="00A87D1E">
        <w:t xml:space="preserve"> ebrei). Ugualmente presenti sono le richieste con ebree (30</w:t>
      </w:r>
      <w:r w:rsidR="002806D7">
        <w:t>%)</w:t>
      </w:r>
      <w:r w:rsidR="00A87D1E">
        <w:t xml:space="preserve"> ed ebrei (2</w:t>
      </w:r>
      <w:r w:rsidR="002806D7">
        <w:t>9</w:t>
      </w:r>
      <w:r w:rsidR="00A87D1E">
        <w:t>) di nazionalità statunitense ed israeliana (1</w:t>
      </w:r>
      <w:r w:rsidR="002806D7">
        <w:t>4</w:t>
      </w:r>
      <w:r w:rsidR="00A87D1E">
        <w:t xml:space="preserve">% donne e </w:t>
      </w:r>
      <w:r w:rsidR="002806D7">
        <w:t>9</w:t>
      </w:r>
      <w:r w:rsidR="00A87D1E">
        <w:t xml:space="preserve"> uomini). </w:t>
      </w:r>
      <w:r w:rsidR="00ED3ACF">
        <w:t xml:space="preserve">Poco numerosa </w:t>
      </w:r>
      <w:r w:rsidR="00A87D1E">
        <w:t>è la presenza di dispense richieste con ebre</w:t>
      </w:r>
      <w:r w:rsidR="00D402F9">
        <w:t>e/</w:t>
      </w:r>
      <w:r w:rsidR="00A87D1E">
        <w:t>i di altre nazioni</w:t>
      </w:r>
      <w:r w:rsidR="00D402F9">
        <w:t xml:space="preserve">. </w:t>
      </w:r>
    </w:p>
    <w:p w:rsidR="00A87D1E" w:rsidRDefault="002806D7" w:rsidP="00B139F4">
      <w:r>
        <w:t xml:space="preserve">Anche in questo caso, questi dati non possono </w:t>
      </w:r>
      <w:r w:rsidR="00A87D1E">
        <w:t xml:space="preserve">dire </w:t>
      </w:r>
      <w:r>
        <w:t xml:space="preserve">nulla </w:t>
      </w:r>
      <w:r w:rsidR="00A87D1E">
        <w:t>sulla religiosi</w:t>
      </w:r>
      <w:r w:rsidR="00385A13">
        <w:t xml:space="preserve">tà di queste unioni con ebree/i, se </w:t>
      </w:r>
      <w:r>
        <w:t xml:space="preserve">esse/i </w:t>
      </w:r>
      <w:r w:rsidR="004F27FF">
        <w:t xml:space="preserve">se siano osservati o meno. </w:t>
      </w:r>
      <w:r w:rsidR="00A87D1E">
        <w:t xml:space="preserve">   </w:t>
      </w:r>
    </w:p>
    <w:p w:rsidR="00883EBA" w:rsidRDefault="00883EBA" w:rsidP="00B139F4"/>
    <w:p w:rsidR="0027056A" w:rsidRPr="00CF1C15" w:rsidRDefault="00B139F4" w:rsidP="00B139F4">
      <w:pPr>
        <w:pStyle w:val="Titolo2"/>
      </w:pPr>
      <w:r>
        <w:t>5.</w:t>
      </w:r>
      <w:r w:rsidR="00E87985">
        <w:t>3.</w:t>
      </w:r>
      <w:r>
        <w:t xml:space="preserve"> </w:t>
      </w:r>
      <w:r w:rsidR="0027056A" w:rsidRPr="00CF1C15">
        <w:t>Religioni tradizionali asiatiche.</w:t>
      </w:r>
    </w:p>
    <w:p w:rsidR="005F2F02" w:rsidRDefault="005F2F02" w:rsidP="00B139F4">
      <w:r w:rsidRPr="005F2F02">
        <w:t>Il questionario inviato alle diocesi prevedeva di indicar</w:t>
      </w:r>
      <w:r w:rsidR="005E27D1">
        <w:t>ne</w:t>
      </w:r>
      <w:r w:rsidRPr="005F2F02">
        <w:t xml:space="preserve"> all’i</w:t>
      </w:r>
      <w:r>
        <w:t>n</w:t>
      </w:r>
      <w:r w:rsidRPr="005F2F02">
        <w:t>t</w:t>
      </w:r>
      <w:r>
        <w:t>e</w:t>
      </w:r>
      <w:r w:rsidRPr="005F2F02">
        <w:t>rno della</w:t>
      </w:r>
      <w:r>
        <w:t xml:space="preserve"> macro </w:t>
      </w:r>
      <w:r w:rsidRPr="005F2F02">
        <w:t xml:space="preserve">area </w:t>
      </w:r>
      <w:r>
        <w:t>“</w:t>
      </w:r>
      <w:r w:rsidRPr="005F2F02">
        <w:t xml:space="preserve">Religioni </w:t>
      </w:r>
      <w:r>
        <w:t xml:space="preserve">tradizionali </w:t>
      </w:r>
      <w:r w:rsidRPr="005F2F02">
        <w:t>asiatiche</w:t>
      </w:r>
      <w:r>
        <w:t>”</w:t>
      </w:r>
      <w:r w:rsidRPr="005F2F02">
        <w:t xml:space="preserve"> </w:t>
      </w:r>
      <w:r w:rsidR="005E27D1">
        <w:t xml:space="preserve">alcune </w:t>
      </w:r>
      <w:r w:rsidRPr="005F2F02">
        <w:t>specific</w:t>
      </w:r>
      <w:r w:rsidR="005E27D1">
        <w:t xml:space="preserve">he: </w:t>
      </w:r>
      <w:r>
        <w:t>Buddismo, Induismo, Jainismo, Shintoismo, Sikhismo, Taoismo e Zoroastrismo</w:t>
      </w:r>
      <w:r w:rsidRPr="005F2F02">
        <w:t>.</w:t>
      </w:r>
      <w:r>
        <w:t xml:space="preserve"> La nostra analisi è stata fatta per macro-area e in particolare per singola religione. </w:t>
      </w:r>
    </w:p>
    <w:p w:rsidR="00C34D0D" w:rsidRDefault="0027056A" w:rsidP="00B139F4">
      <w:r w:rsidRPr="0027056A">
        <w:t xml:space="preserve">Sono 292 </w:t>
      </w:r>
      <w:r>
        <w:t xml:space="preserve">le richieste di matrimonio con appartenenti alle religioni </w:t>
      </w:r>
      <w:r w:rsidR="00A60706">
        <w:t>tradizionali asiatiche</w:t>
      </w:r>
      <w:r w:rsidR="005F2F02">
        <w:t xml:space="preserve">. </w:t>
      </w:r>
      <w:r w:rsidR="00BD6492">
        <w:t xml:space="preserve">Prevalgono le richieste di </w:t>
      </w:r>
      <w:r w:rsidR="00A60706">
        <w:t xml:space="preserve">matrimoni con donne (180), rispetto agli uomini (112). Le nazionalità di </w:t>
      </w:r>
      <w:r w:rsidR="00BD6492">
        <w:t xml:space="preserve">provenienza sono soprattutto </w:t>
      </w:r>
      <w:r w:rsidR="00A60706">
        <w:t>Giappone (33%), T</w:t>
      </w:r>
      <w:r w:rsidR="00BD6492">
        <w:t>ha</w:t>
      </w:r>
      <w:r w:rsidR="00A60706">
        <w:t>ilandia (14%), India (12%),</w:t>
      </w:r>
      <w:r w:rsidR="00BD6492">
        <w:t xml:space="preserve"> </w:t>
      </w:r>
      <w:r w:rsidR="00A60706">
        <w:t>Italia (12%), Sri Lanka (5%), Cina (4%)</w:t>
      </w:r>
      <w:r w:rsidR="00717A35">
        <w:t>,</w:t>
      </w:r>
      <w:r w:rsidR="00A60706">
        <w:t xml:space="preserve"> </w:t>
      </w:r>
      <w:r w:rsidR="00717A35">
        <w:t xml:space="preserve">Regno Unito (4%) e Stati Uniti (4%). </w:t>
      </w:r>
    </w:p>
    <w:p w:rsidR="00883EBA" w:rsidRDefault="00883EBA" w:rsidP="00B139F4"/>
    <w:p w:rsidR="00646F51" w:rsidRPr="00AD7196" w:rsidRDefault="00646F51" w:rsidP="00B139F4">
      <w:pPr>
        <w:rPr>
          <w:b/>
          <w:lang w:eastAsia="it-IT"/>
        </w:rPr>
      </w:pPr>
      <w:proofErr w:type="spellStart"/>
      <w:r w:rsidRPr="00AD7196">
        <w:rPr>
          <w:b/>
          <w:lang w:eastAsia="it-IT"/>
        </w:rPr>
        <w:t>Tab</w:t>
      </w:r>
      <w:proofErr w:type="spellEnd"/>
      <w:r w:rsidRPr="00AD7196">
        <w:rPr>
          <w:b/>
          <w:lang w:eastAsia="it-IT"/>
        </w:rPr>
        <w:t>.</w:t>
      </w:r>
      <w:r w:rsidR="00CC0354" w:rsidRPr="00AD7196">
        <w:rPr>
          <w:b/>
          <w:lang w:eastAsia="it-IT"/>
        </w:rPr>
        <w:t xml:space="preserve"> n. 10</w:t>
      </w:r>
      <w:r w:rsidR="005F2F02" w:rsidRPr="00AD7196">
        <w:rPr>
          <w:b/>
          <w:lang w:eastAsia="it-IT"/>
        </w:rPr>
        <w:t xml:space="preserve">. </w:t>
      </w:r>
      <w:r w:rsidRPr="00AD7196">
        <w:rPr>
          <w:b/>
          <w:lang w:eastAsia="it-IT"/>
        </w:rPr>
        <w:t xml:space="preserve">Matrimoni interreligiosi - Religioni tradizionali asiatiche </w:t>
      </w:r>
      <w:r w:rsidR="00084E13">
        <w:rPr>
          <w:b/>
          <w:lang w:eastAsia="it-IT"/>
        </w:rPr>
        <w:t xml:space="preserve">per </w:t>
      </w:r>
      <w:r w:rsidR="00B96151">
        <w:rPr>
          <w:b/>
          <w:lang w:eastAsia="it-IT"/>
        </w:rPr>
        <w:t xml:space="preserve">anno e genere </w:t>
      </w:r>
      <w:r w:rsidRPr="00AD7196">
        <w:rPr>
          <w:b/>
          <w:lang w:eastAsia="it-IT"/>
        </w:rPr>
        <w:t>(tutte)</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24"/>
        <w:gridCol w:w="1042"/>
        <w:gridCol w:w="1776"/>
        <w:gridCol w:w="1042"/>
        <w:gridCol w:w="1776"/>
        <w:gridCol w:w="1042"/>
        <w:gridCol w:w="1776"/>
      </w:tblGrid>
      <w:tr w:rsidR="00CF1C15" w:rsidRPr="00CF1C15" w:rsidTr="00CF1C15">
        <w:trPr>
          <w:trHeight w:val="315"/>
        </w:trPr>
        <w:tc>
          <w:tcPr>
            <w:tcW w:w="5000" w:type="pct"/>
            <w:gridSpan w:val="7"/>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Pr>
                <w:rFonts w:eastAsia="Times New Roman"/>
                <w:color w:val="000000"/>
                <w:lang w:eastAsia="ja-JP"/>
              </w:rPr>
              <w:t>Religioni tradizionali asiatiche nel decennio 1999-2008</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p>
        </w:tc>
        <w:tc>
          <w:tcPr>
            <w:tcW w:w="1441" w:type="pct"/>
            <w:gridSpan w:val="2"/>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F</w:t>
            </w:r>
          </w:p>
        </w:tc>
        <w:tc>
          <w:tcPr>
            <w:tcW w:w="1441" w:type="pct"/>
            <w:gridSpan w:val="2"/>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M</w:t>
            </w:r>
          </w:p>
        </w:tc>
        <w:tc>
          <w:tcPr>
            <w:tcW w:w="1441" w:type="pct"/>
            <w:gridSpan w:val="2"/>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Totale complessivo</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b/>
                <w:bCs/>
                <w:color w:val="000000"/>
                <w:lang w:eastAsia="ja-JP"/>
              </w:rPr>
            </w:pPr>
            <w:r w:rsidRPr="00CF1C15">
              <w:rPr>
                <w:rFonts w:eastAsia="Times New Roman"/>
                <w:b/>
                <w:bCs/>
                <w:color w:val="000000"/>
                <w:lang w:eastAsia="ja-JP"/>
              </w:rPr>
              <w:t>Anno</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V.A.</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V.A.</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V.A.</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1999</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12</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6.67%</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6.25%</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19</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6.51%</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2000</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15</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8.33%</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12</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10.71%</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9.25%</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2001</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21</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11.67%</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9.82%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32</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10.96%</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20</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11.11%</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8</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7.14%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28</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9.59%</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2003</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9.44%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8</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7.14%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25</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8.56%</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19</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10.56%</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9.82%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30</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10.27%</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2005</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13</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7.22%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14</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12.50%</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9.25%</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2006</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9.44%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9.82%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28</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9.59%</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2007</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20</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11.11%</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19</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16.96%</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39</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13.36%</w:t>
            </w:r>
          </w:p>
        </w:tc>
      </w:tr>
      <w:tr w:rsidR="00CF1C15" w:rsidRPr="00CF1C15" w:rsidTr="00CF1C15">
        <w:trPr>
          <w:trHeight w:val="300"/>
        </w:trPr>
        <w:tc>
          <w:tcPr>
            <w:tcW w:w="677" w:type="pct"/>
            <w:shd w:val="clear" w:color="auto" w:fill="auto"/>
            <w:noWrap/>
            <w:vAlign w:val="center"/>
            <w:hideMark/>
          </w:tcPr>
          <w:p w:rsidR="00CF1C15" w:rsidRPr="00CF1C15" w:rsidRDefault="00CF1C15" w:rsidP="00CF1C15">
            <w:pPr>
              <w:spacing w:line="240" w:lineRule="auto"/>
              <w:rPr>
                <w:rFonts w:eastAsia="Times New Roman"/>
                <w:color w:val="000000"/>
                <w:lang w:eastAsia="ja-JP"/>
              </w:rPr>
            </w:pPr>
            <w:r w:rsidRPr="00CF1C15">
              <w:rPr>
                <w:rFonts w:eastAsia="Times New Roman"/>
                <w:color w:val="000000"/>
                <w:lang w:eastAsia="ja-JP"/>
              </w:rPr>
              <w:t>2008</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26</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14.44%</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11</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9.82%</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37</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color w:val="000000"/>
                <w:lang w:eastAsia="ja-JP"/>
              </w:rPr>
            </w:pPr>
            <w:r w:rsidRPr="00CF1C15">
              <w:rPr>
                <w:rFonts w:eastAsia="Times New Roman"/>
                <w:color w:val="000000"/>
                <w:lang w:eastAsia="ja-JP"/>
              </w:rPr>
              <w:t>12.67%</w:t>
            </w:r>
          </w:p>
        </w:tc>
      </w:tr>
      <w:tr w:rsidR="00CF1C15" w:rsidRPr="00CF1C15" w:rsidTr="00CF1C15">
        <w:trPr>
          <w:trHeight w:val="315"/>
        </w:trPr>
        <w:tc>
          <w:tcPr>
            <w:tcW w:w="677" w:type="pct"/>
            <w:shd w:val="clear" w:color="auto" w:fill="auto"/>
            <w:noWrap/>
            <w:vAlign w:val="center"/>
            <w:hideMark/>
          </w:tcPr>
          <w:p w:rsidR="00CF1C15" w:rsidRPr="00CF1C15" w:rsidRDefault="00CF1C15" w:rsidP="00CF1C15">
            <w:pPr>
              <w:spacing w:line="240" w:lineRule="auto"/>
              <w:rPr>
                <w:rFonts w:eastAsia="Times New Roman"/>
                <w:b/>
                <w:bCs/>
                <w:color w:val="000000"/>
                <w:lang w:eastAsia="ja-JP"/>
              </w:rPr>
            </w:pPr>
            <w:r w:rsidRPr="00CF1C15">
              <w:rPr>
                <w:rFonts w:eastAsia="Times New Roman"/>
                <w:b/>
                <w:bCs/>
                <w:color w:val="000000"/>
                <w:lang w:eastAsia="ja-JP"/>
              </w:rPr>
              <w:t>TOT</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180</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100%</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112</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100%</w:t>
            </w:r>
          </w:p>
        </w:tc>
        <w:tc>
          <w:tcPr>
            <w:tcW w:w="533"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292</w:t>
            </w:r>
          </w:p>
        </w:tc>
        <w:tc>
          <w:tcPr>
            <w:tcW w:w="908" w:type="pct"/>
            <w:shd w:val="clear" w:color="auto" w:fill="auto"/>
            <w:noWrap/>
            <w:vAlign w:val="center"/>
            <w:hideMark/>
          </w:tcPr>
          <w:p w:rsidR="00CF1C15" w:rsidRPr="00CF1C15" w:rsidRDefault="00CF1C15" w:rsidP="00CF1C15">
            <w:pPr>
              <w:spacing w:line="240" w:lineRule="auto"/>
              <w:jc w:val="center"/>
              <w:rPr>
                <w:rFonts w:eastAsia="Times New Roman"/>
                <w:b/>
                <w:bCs/>
                <w:color w:val="000000"/>
                <w:lang w:eastAsia="ja-JP"/>
              </w:rPr>
            </w:pPr>
            <w:r w:rsidRPr="00CF1C15">
              <w:rPr>
                <w:rFonts w:eastAsia="Times New Roman"/>
                <w:b/>
                <w:bCs/>
                <w:color w:val="000000"/>
                <w:lang w:eastAsia="ja-JP"/>
              </w:rPr>
              <w:t>100%</w:t>
            </w:r>
          </w:p>
        </w:tc>
      </w:tr>
    </w:tbl>
    <w:p w:rsidR="00CC0354" w:rsidRDefault="00CC0354" w:rsidP="00CC0354">
      <w:pPr>
        <w:rPr>
          <w:lang w:bidi="en-US"/>
        </w:rPr>
      </w:pPr>
    </w:p>
    <w:p w:rsidR="00724B3C" w:rsidRDefault="00724B3C" w:rsidP="00CC0354">
      <w:pPr>
        <w:rPr>
          <w:lang w:bidi="en-US"/>
        </w:rPr>
      </w:pPr>
    </w:p>
    <w:p w:rsidR="00BC4EE2" w:rsidRDefault="00B139F4" w:rsidP="00CC0354">
      <w:pPr>
        <w:rPr>
          <w:rStyle w:val="Titolo2Carattere"/>
        </w:rPr>
      </w:pPr>
      <w:r w:rsidRPr="00B139F4">
        <w:rPr>
          <w:rStyle w:val="Titolo2Carattere"/>
        </w:rPr>
        <w:t>5.</w:t>
      </w:r>
      <w:r w:rsidR="00E87985">
        <w:rPr>
          <w:rStyle w:val="Titolo2Carattere"/>
        </w:rPr>
        <w:t>4.</w:t>
      </w:r>
      <w:r w:rsidRPr="00B139F4">
        <w:rPr>
          <w:rStyle w:val="Titolo2Carattere"/>
        </w:rPr>
        <w:t xml:space="preserve"> </w:t>
      </w:r>
      <w:r w:rsidR="000936F6" w:rsidRPr="00B139F4">
        <w:rPr>
          <w:rStyle w:val="Titolo2Carattere"/>
        </w:rPr>
        <w:t>Matrimoni con buddiste/</w:t>
      </w:r>
      <w:r w:rsidR="00A83382" w:rsidRPr="00B139F4">
        <w:rPr>
          <w:rStyle w:val="Titolo2Carattere"/>
        </w:rPr>
        <w:t>i</w:t>
      </w:r>
    </w:p>
    <w:p w:rsidR="00883EBA" w:rsidRPr="00CF1C15" w:rsidRDefault="00883EBA" w:rsidP="00CC0354">
      <w:pPr>
        <w:rPr>
          <w:b/>
          <w:sz w:val="28"/>
          <w:szCs w:val="28"/>
          <w:u w:val="single"/>
        </w:rPr>
      </w:pPr>
    </w:p>
    <w:p w:rsidR="00D87615" w:rsidRPr="00BC4EE2" w:rsidRDefault="00BC4EE2" w:rsidP="00B139F4">
      <w:pPr>
        <w:rPr>
          <w:u w:val="single"/>
        </w:rPr>
      </w:pPr>
      <w:r>
        <w:t xml:space="preserve">Tra i matrimoni con appartenenti a “religioni tradizionali asiatiche” prevalgono quelli con buddiste/i. </w:t>
      </w:r>
    </w:p>
    <w:p w:rsidR="00BA774E" w:rsidRPr="00BA774E" w:rsidRDefault="00BA774E" w:rsidP="00B139F4">
      <w:r w:rsidRPr="00BA774E">
        <w:t xml:space="preserve">In questo </w:t>
      </w:r>
      <w:r>
        <w:t xml:space="preserve">contesto </w:t>
      </w:r>
      <w:r w:rsidR="00BC4EE2">
        <w:t xml:space="preserve">abbiamo </w:t>
      </w:r>
      <w:r>
        <w:t>consider</w:t>
      </w:r>
      <w:r w:rsidR="00BC4EE2">
        <w:t>ato i</w:t>
      </w:r>
      <w:r>
        <w:t>l buddismo come una religione</w:t>
      </w:r>
      <w:r w:rsidR="0018356F">
        <w:t xml:space="preserve">, sebbene </w:t>
      </w:r>
      <w:r>
        <w:t>non tutti</w:t>
      </w:r>
      <w:r w:rsidR="00385A13">
        <w:t xml:space="preserve"> (anche tra gli stessi buddisti)</w:t>
      </w:r>
      <w:r>
        <w:t xml:space="preserve"> concord</w:t>
      </w:r>
      <w:r w:rsidR="0018356F">
        <w:t xml:space="preserve">ino </w:t>
      </w:r>
      <w:r>
        <w:t xml:space="preserve">con questa </w:t>
      </w:r>
      <w:r w:rsidR="0018356F">
        <w:t>definizione</w:t>
      </w:r>
      <w:r w:rsidR="00AD7196">
        <w:t xml:space="preserve">. Mi pare, però, </w:t>
      </w:r>
      <w:r w:rsidR="0018356F">
        <w:t xml:space="preserve">che in Italia dopo la firma dell’Intesa, avvenuta il 18 dicembre 2012, si possa </w:t>
      </w:r>
      <w:r w:rsidR="00F13E34">
        <w:t xml:space="preserve">parlare </w:t>
      </w:r>
      <w:r w:rsidR="0018356F">
        <w:t xml:space="preserve">in termini di confessione religiosa. </w:t>
      </w:r>
    </w:p>
    <w:p w:rsidR="003227C3" w:rsidRDefault="003227C3" w:rsidP="00B139F4">
      <w:r>
        <w:t>In crescita sono anche le richieste di dispensa per matrimoni con buddisti, che nel quinquennio 1999-2004 sono 91 e 109 in quello successivo dal 2004-2008.</w:t>
      </w:r>
      <w:r w:rsidR="004B69EF">
        <w:t xml:space="preserve"> </w:t>
      </w:r>
      <w:r>
        <w:t>Molto più numerosi sono i cattolici che hanno sposato donne buddiste, rispettivamente 63 e 71 ne</w:t>
      </w:r>
      <w:r w:rsidR="00B325BC">
        <w:t>i due quinquenni.</w:t>
      </w:r>
    </w:p>
    <w:p w:rsidR="00883EBA" w:rsidRDefault="00385A13" w:rsidP="00B139F4">
      <w:r>
        <w:t xml:space="preserve">Complessivamente sono aumentati i matrimoni con buddisti, nel decennio analizzato, passando nel totale da 12 nel 1999 a 29 nel 2008. </w:t>
      </w:r>
    </w:p>
    <w:p w:rsidR="00724B3C" w:rsidRDefault="00724B3C" w:rsidP="00B139F4"/>
    <w:p w:rsidR="00724B3C" w:rsidRDefault="00724B3C" w:rsidP="00724B3C">
      <w:r>
        <w:t xml:space="preserve">Complessivamente le 200 richieste di dispense con buddisti, prevalgono le richieste di dispensa per matrimoni con buddisti provenienti dal Giappone (36%), dalla </w:t>
      </w:r>
      <w:proofErr w:type="spellStart"/>
      <w:r>
        <w:t>Thailandia</w:t>
      </w:r>
      <w:proofErr w:type="spellEnd"/>
      <w:r>
        <w:t xml:space="preserve"> (20%), dall’Italia (17%), dallo </w:t>
      </w:r>
      <w:proofErr w:type="spellStart"/>
      <w:r>
        <w:t>Sri</w:t>
      </w:r>
      <w:proofErr w:type="spellEnd"/>
      <w:r>
        <w:t xml:space="preserve"> Lanka (6%) e dalla Cina (6%). </w:t>
      </w:r>
    </w:p>
    <w:p w:rsidR="00724B3C" w:rsidRDefault="00724B3C" w:rsidP="00724B3C">
      <w:r>
        <w:t xml:space="preserve">È interessante notare che i cattolici in maggioranza sposano donne buddiste provenienti dal Giappone (27), </w:t>
      </w:r>
      <w:proofErr w:type="spellStart"/>
      <w:r>
        <w:t>Thailandia</w:t>
      </w:r>
      <w:proofErr w:type="spellEnd"/>
      <w:r>
        <w:t xml:space="preserve"> (18), Cina (3%) </w:t>
      </w:r>
      <w:proofErr w:type="spellStart"/>
      <w:r>
        <w:t>Sri</w:t>
      </w:r>
      <w:proofErr w:type="spellEnd"/>
      <w:r>
        <w:t xml:space="preserve"> Lanka (5%), rispetto alle richieste con uomini buddisti dei medesimi paesi. </w:t>
      </w:r>
    </w:p>
    <w:p w:rsidR="00724B3C" w:rsidRDefault="00724B3C" w:rsidP="00B139F4"/>
    <w:p w:rsidR="00ED3E8D" w:rsidRPr="00AD7196" w:rsidRDefault="005E0CA0" w:rsidP="00B139F4">
      <w:pPr>
        <w:rPr>
          <w:b/>
        </w:rPr>
      </w:pPr>
      <w:proofErr w:type="spellStart"/>
      <w:r w:rsidRPr="00AD7196">
        <w:rPr>
          <w:b/>
        </w:rPr>
        <w:t>Tab</w:t>
      </w:r>
      <w:proofErr w:type="spellEnd"/>
      <w:r w:rsidRPr="00AD7196">
        <w:rPr>
          <w:b/>
        </w:rPr>
        <w:t xml:space="preserve">. n. 11. Matrimoni con buddisti </w:t>
      </w:r>
      <w:r w:rsidR="00084E13">
        <w:rPr>
          <w:b/>
        </w:rPr>
        <w:t xml:space="preserve">per </w:t>
      </w:r>
      <w:r w:rsidRPr="00AD7196">
        <w:rPr>
          <w:b/>
        </w:rPr>
        <w:t xml:space="preserve">nazionalità e </w:t>
      </w:r>
      <w:r w:rsidR="007549E6" w:rsidRPr="00AD7196">
        <w:rPr>
          <w:b/>
        </w:rPr>
        <w:t xml:space="preserve">genere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052"/>
        <w:gridCol w:w="1299"/>
        <w:gridCol w:w="1228"/>
        <w:gridCol w:w="1300"/>
        <w:gridCol w:w="1066"/>
        <w:gridCol w:w="1508"/>
      </w:tblGrid>
      <w:tr w:rsidR="00A83382" w:rsidRPr="00A43D99" w:rsidTr="00A83382">
        <w:trPr>
          <w:cantSplit/>
          <w:trHeight w:val="20"/>
        </w:trPr>
        <w:tc>
          <w:tcPr>
            <w:tcW w:w="5000" w:type="pct"/>
            <w:gridSpan w:val="7"/>
            <w:shd w:val="clear" w:color="auto" w:fill="auto"/>
            <w:noWrap/>
            <w:vAlign w:val="bottom"/>
            <w:hideMark/>
          </w:tcPr>
          <w:p w:rsidR="00A83382" w:rsidRPr="00A43D99" w:rsidRDefault="00A83382" w:rsidP="002128FA">
            <w:pPr>
              <w:jc w:val="center"/>
              <w:rPr>
                <w:rFonts w:eastAsia="Times New Roman"/>
                <w:color w:val="000000"/>
                <w:lang w:eastAsia="ja-JP"/>
              </w:rPr>
            </w:pPr>
            <w:r>
              <w:rPr>
                <w:rFonts w:eastAsia="Times New Roman"/>
                <w:color w:val="000000"/>
                <w:lang w:eastAsia="ja-JP"/>
              </w:rPr>
              <w:t>Matrimoni con buddisti</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 </w:t>
            </w:r>
          </w:p>
        </w:tc>
        <w:tc>
          <w:tcPr>
            <w:tcW w:w="1202" w:type="pct"/>
            <w:gridSpan w:val="2"/>
            <w:shd w:val="clear" w:color="auto" w:fill="auto"/>
            <w:noWrap/>
            <w:vAlign w:val="bottom"/>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F</w:t>
            </w:r>
          </w:p>
        </w:tc>
        <w:tc>
          <w:tcPr>
            <w:tcW w:w="1293" w:type="pct"/>
            <w:gridSpan w:val="2"/>
            <w:shd w:val="clear" w:color="auto" w:fill="auto"/>
            <w:noWrap/>
            <w:vAlign w:val="bottom"/>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M</w:t>
            </w:r>
          </w:p>
        </w:tc>
        <w:tc>
          <w:tcPr>
            <w:tcW w:w="1316" w:type="pct"/>
            <w:gridSpan w:val="2"/>
            <w:shd w:val="clear" w:color="auto" w:fill="auto"/>
            <w:noWrap/>
            <w:vAlign w:val="bottom"/>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T</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b/>
                <w:bCs/>
                <w:lang w:eastAsia="ja-JP"/>
              </w:rPr>
            </w:pPr>
            <w:r w:rsidRPr="00A43D99">
              <w:rPr>
                <w:rFonts w:eastAsia="Times New Roman"/>
                <w:b/>
                <w:bCs/>
                <w:lang w:eastAsia="ja-JP"/>
              </w:rPr>
              <w:t>Nazione</w:t>
            </w:r>
          </w:p>
        </w:tc>
        <w:tc>
          <w:tcPr>
            <w:tcW w:w="538"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V.A.</w:t>
            </w:r>
          </w:p>
        </w:tc>
        <w:tc>
          <w:tcPr>
            <w:tcW w:w="664"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w:t>
            </w:r>
          </w:p>
        </w:tc>
        <w:tc>
          <w:tcPr>
            <w:tcW w:w="628"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V.A.</w:t>
            </w:r>
          </w:p>
        </w:tc>
        <w:tc>
          <w:tcPr>
            <w:tcW w:w="665"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w:t>
            </w:r>
          </w:p>
        </w:tc>
        <w:tc>
          <w:tcPr>
            <w:tcW w:w="545"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V.A.</w:t>
            </w:r>
          </w:p>
        </w:tc>
        <w:tc>
          <w:tcPr>
            <w:tcW w:w="771" w:type="pct"/>
            <w:shd w:val="clear" w:color="auto" w:fill="auto"/>
            <w:noWrap/>
            <w:vAlign w:val="bottom"/>
            <w:hideMark/>
          </w:tcPr>
          <w:p w:rsidR="00A83382" w:rsidRPr="00A43D99" w:rsidRDefault="00A83382" w:rsidP="002128FA">
            <w:pPr>
              <w:jc w:val="center"/>
              <w:rPr>
                <w:rFonts w:eastAsia="Times New Roman"/>
                <w:b/>
                <w:bCs/>
                <w:lang w:eastAsia="ja-JP"/>
              </w:rPr>
            </w:pPr>
            <w:r w:rsidRPr="00A43D99">
              <w:rPr>
                <w:rFonts w:eastAsia="Times New Roman"/>
                <w:b/>
                <w:bCs/>
                <w:lang w:eastAsia="ja-JP"/>
              </w:rPr>
              <w:t>%</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Giappone</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51</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25.50%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71</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35.50%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Thailandia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36</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18.00%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1.50%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39</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19.50%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Italia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13</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6.50%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33</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16.50%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Sri Lanka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6</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6</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6.00%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Cina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7</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4</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11</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5.50%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Usa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4</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7</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Taiwan</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5</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6</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lastRenderedPageBreak/>
              <w:t>Vietnam</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4</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Malesia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3</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India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Corea Del Sud</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Indonesia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N.D.</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Regno Unito</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Mongolia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2</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1.00%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Cambogia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r>
      <w:tr w:rsidR="00A83382" w:rsidRPr="00A43D99" w:rsidTr="00A83382">
        <w:trPr>
          <w:cantSplit/>
          <w:trHeight w:val="20"/>
        </w:trPr>
        <w:tc>
          <w:tcPr>
            <w:tcW w:w="1189" w:type="pct"/>
            <w:shd w:val="clear" w:color="auto" w:fill="auto"/>
            <w:noWrap/>
            <w:vAlign w:val="bottom"/>
            <w:hideMark/>
          </w:tcPr>
          <w:p w:rsidR="00A83382" w:rsidRPr="00A43D99" w:rsidRDefault="00A83382" w:rsidP="002128FA">
            <w:pPr>
              <w:rPr>
                <w:rFonts w:eastAsia="Times New Roman"/>
                <w:color w:val="000000"/>
                <w:lang w:eastAsia="ja-JP"/>
              </w:rPr>
            </w:pPr>
            <w:r w:rsidRPr="00A43D99">
              <w:rPr>
                <w:rFonts w:eastAsia="Times New Roman"/>
                <w:color w:val="000000"/>
                <w:lang w:eastAsia="ja-JP"/>
              </w:rPr>
              <w:t>Canada</w:t>
            </w:r>
          </w:p>
        </w:tc>
        <w:tc>
          <w:tcPr>
            <w:tcW w:w="53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w:t>
            </w:r>
          </w:p>
        </w:tc>
        <w:tc>
          <w:tcPr>
            <w:tcW w:w="664"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0.00%</w:t>
            </w:r>
          </w:p>
        </w:tc>
        <w:tc>
          <w:tcPr>
            <w:tcW w:w="628"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66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c>
          <w:tcPr>
            <w:tcW w:w="545"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1</w:t>
            </w:r>
          </w:p>
        </w:tc>
        <w:tc>
          <w:tcPr>
            <w:tcW w:w="771" w:type="pct"/>
            <w:shd w:val="clear" w:color="auto" w:fill="auto"/>
            <w:noWrap/>
            <w:vAlign w:val="center"/>
            <w:hideMark/>
          </w:tcPr>
          <w:p w:rsidR="00A83382" w:rsidRPr="00A43D99" w:rsidRDefault="00A83382" w:rsidP="002128FA">
            <w:pPr>
              <w:jc w:val="center"/>
              <w:rPr>
                <w:rFonts w:eastAsia="Times New Roman"/>
                <w:color w:val="000000"/>
                <w:lang w:eastAsia="ja-JP"/>
              </w:rPr>
            </w:pPr>
            <w:r w:rsidRPr="00A43D99">
              <w:rPr>
                <w:rFonts w:eastAsia="Times New Roman"/>
                <w:color w:val="000000"/>
                <w:lang w:eastAsia="ja-JP"/>
              </w:rPr>
              <w:t>0.50%</w:t>
            </w:r>
          </w:p>
        </w:tc>
      </w:tr>
      <w:tr w:rsidR="00A83382" w:rsidRPr="00A43D99" w:rsidTr="00A83382">
        <w:trPr>
          <w:cantSplit/>
          <w:trHeight w:val="20"/>
        </w:trPr>
        <w:tc>
          <w:tcPr>
            <w:tcW w:w="1189"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TOT</w:t>
            </w:r>
          </w:p>
        </w:tc>
        <w:tc>
          <w:tcPr>
            <w:tcW w:w="538"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134</w:t>
            </w:r>
          </w:p>
        </w:tc>
        <w:tc>
          <w:tcPr>
            <w:tcW w:w="664"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67.00%</w:t>
            </w:r>
          </w:p>
        </w:tc>
        <w:tc>
          <w:tcPr>
            <w:tcW w:w="628"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66</w:t>
            </w:r>
          </w:p>
        </w:tc>
        <w:tc>
          <w:tcPr>
            <w:tcW w:w="665"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33.00%</w:t>
            </w:r>
          </w:p>
        </w:tc>
        <w:tc>
          <w:tcPr>
            <w:tcW w:w="545"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200</w:t>
            </w:r>
          </w:p>
        </w:tc>
        <w:tc>
          <w:tcPr>
            <w:tcW w:w="771" w:type="pct"/>
            <w:shd w:val="clear" w:color="auto" w:fill="auto"/>
            <w:noWrap/>
            <w:vAlign w:val="center"/>
            <w:hideMark/>
          </w:tcPr>
          <w:p w:rsidR="00A83382" w:rsidRPr="00A43D99" w:rsidRDefault="00A83382" w:rsidP="002128FA">
            <w:pPr>
              <w:jc w:val="center"/>
              <w:rPr>
                <w:rFonts w:eastAsia="Times New Roman"/>
                <w:b/>
                <w:bCs/>
                <w:color w:val="000000"/>
                <w:lang w:eastAsia="ja-JP"/>
              </w:rPr>
            </w:pPr>
            <w:r w:rsidRPr="00A43D99">
              <w:rPr>
                <w:rFonts w:eastAsia="Times New Roman"/>
                <w:b/>
                <w:bCs/>
                <w:color w:val="000000"/>
                <w:lang w:eastAsia="ja-JP"/>
              </w:rPr>
              <w:t>100.00%</w:t>
            </w:r>
          </w:p>
        </w:tc>
      </w:tr>
    </w:tbl>
    <w:p w:rsidR="00FA2035" w:rsidRDefault="00FA2035" w:rsidP="0004299F"/>
    <w:p w:rsidR="00FA2035" w:rsidRPr="00AD7196" w:rsidRDefault="00FA2035" w:rsidP="00FA2035">
      <w:pPr>
        <w:rPr>
          <w:b/>
        </w:rPr>
      </w:pPr>
      <w:proofErr w:type="spellStart"/>
      <w:r w:rsidRPr="00AD7196">
        <w:rPr>
          <w:b/>
        </w:rPr>
        <w:t>Tab</w:t>
      </w:r>
      <w:proofErr w:type="spellEnd"/>
      <w:r w:rsidRPr="00AD7196">
        <w:rPr>
          <w:b/>
        </w:rPr>
        <w:t xml:space="preserve">. n. 12. Matrimoni con buddisti </w:t>
      </w:r>
      <w:r w:rsidR="00084E13">
        <w:rPr>
          <w:b/>
        </w:rPr>
        <w:t xml:space="preserve">per </w:t>
      </w:r>
      <w:r w:rsidRPr="00AD7196">
        <w:rPr>
          <w:b/>
        </w:rPr>
        <w:t xml:space="preserve">anno e genere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324"/>
        <w:gridCol w:w="1042"/>
        <w:gridCol w:w="1776"/>
        <w:gridCol w:w="1042"/>
        <w:gridCol w:w="1776"/>
        <w:gridCol w:w="1042"/>
        <w:gridCol w:w="1776"/>
      </w:tblGrid>
      <w:tr w:rsidR="00933D9B" w:rsidRPr="005704F6" w:rsidTr="00803015">
        <w:trPr>
          <w:cantSplit/>
          <w:trHeight w:val="20"/>
        </w:trPr>
        <w:tc>
          <w:tcPr>
            <w:tcW w:w="5000" w:type="pct"/>
            <w:gridSpan w:val="7"/>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Pr>
                <w:rFonts w:eastAsia="Times New Roman"/>
                <w:color w:val="000000"/>
                <w:lang w:eastAsia="ja-JP"/>
              </w:rPr>
              <w:t>Matrimoni con buddisti</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p>
        </w:tc>
        <w:tc>
          <w:tcPr>
            <w:tcW w:w="1441" w:type="pct"/>
            <w:gridSpan w:val="2"/>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F</w:t>
            </w:r>
          </w:p>
        </w:tc>
        <w:tc>
          <w:tcPr>
            <w:tcW w:w="1441" w:type="pct"/>
            <w:gridSpan w:val="2"/>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M</w:t>
            </w:r>
          </w:p>
        </w:tc>
        <w:tc>
          <w:tcPr>
            <w:tcW w:w="1441" w:type="pct"/>
            <w:gridSpan w:val="2"/>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Totale complessivo</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b/>
                <w:bCs/>
                <w:color w:val="000000"/>
                <w:lang w:eastAsia="ja-JP"/>
              </w:rPr>
            </w:pPr>
            <w:r w:rsidRPr="005704F6">
              <w:rPr>
                <w:rFonts w:eastAsia="Times New Roman"/>
                <w:b/>
                <w:bCs/>
                <w:color w:val="000000"/>
                <w:lang w:eastAsia="ja-JP"/>
              </w:rPr>
              <w:t>Anno</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V.A.</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V.A.</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V.A.</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1999</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9</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6.72%</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3</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4.55%</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12</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2000</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12</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8.96%</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8</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12.12%</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20</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2001</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11.94%</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10.61%</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23</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11.50%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2002</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11.94%</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9.09%</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22</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11.00%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2003</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7.46%</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6.06%</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2004</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10.45%</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5</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7.58%</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19</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9.50%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2005</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7.46%</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9.09%</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8.00%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2006</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8</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5.97%</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9.09%</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7.00%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2007</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17</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12.69%</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21.21%</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31</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15.50%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color w:val="000000"/>
                <w:lang w:eastAsia="ja-JP"/>
              </w:rPr>
            </w:pPr>
            <w:r w:rsidRPr="005704F6">
              <w:rPr>
                <w:rFonts w:eastAsia="Times New Roman"/>
                <w:color w:val="000000"/>
                <w:lang w:eastAsia="ja-JP"/>
              </w:rPr>
              <w:t>2008</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22</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16.42%</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7</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10.61%</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29</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color w:val="000000"/>
                <w:lang w:eastAsia="ja-JP"/>
              </w:rPr>
            </w:pPr>
            <w:r w:rsidRPr="005704F6">
              <w:rPr>
                <w:rFonts w:eastAsia="Times New Roman"/>
                <w:color w:val="000000"/>
                <w:lang w:eastAsia="ja-JP"/>
              </w:rPr>
              <w:t>14.50%</w:t>
            </w:r>
          </w:p>
        </w:tc>
      </w:tr>
      <w:tr w:rsidR="00933D9B" w:rsidRPr="005704F6" w:rsidTr="00803015">
        <w:trPr>
          <w:cantSplit/>
          <w:trHeight w:val="20"/>
        </w:trPr>
        <w:tc>
          <w:tcPr>
            <w:tcW w:w="677" w:type="pct"/>
            <w:shd w:val="clear" w:color="auto" w:fill="auto"/>
            <w:noWrap/>
            <w:vAlign w:val="center"/>
            <w:hideMark/>
          </w:tcPr>
          <w:p w:rsidR="00933D9B" w:rsidRPr="005704F6" w:rsidRDefault="00933D9B" w:rsidP="00803015">
            <w:pPr>
              <w:spacing w:line="240" w:lineRule="auto"/>
              <w:rPr>
                <w:rFonts w:eastAsia="Times New Roman"/>
                <w:b/>
                <w:bCs/>
                <w:color w:val="000000"/>
                <w:lang w:eastAsia="ja-JP"/>
              </w:rPr>
            </w:pPr>
            <w:r w:rsidRPr="005704F6">
              <w:rPr>
                <w:rFonts w:eastAsia="Times New Roman"/>
                <w:b/>
                <w:bCs/>
                <w:color w:val="000000"/>
                <w:lang w:eastAsia="ja-JP"/>
              </w:rPr>
              <w:t>TOT</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134</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100%</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66</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100%</w:t>
            </w:r>
          </w:p>
        </w:tc>
        <w:tc>
          <w:tcPr>
            <w:tcW w:w="533"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200</w:t>
            </w:r>
          </w:p>
        </w:tc>
        <w:tc>
          <w:tcPr>
            <w:tcW w:w="908" w:type="pct"/>
            <w:shd w:val="clear" w:color="auto" w:fill="auto"/>
            <w:noWrap/>
            <w:vAlign w:val="center"/>
            <w:hideMark/>
          </w:tcPr>
          <w:p w:rsidR="00933D9B" w:rsidRPr="005704F6" w:rsidRDefault="00933D9B" w:rsidP="00803015">
            <w:pPr>
              <w:spacing w:line="240" w:lineRule="auto"/>
              <w:jc w:val="center"/>
              <w:rPr>
                <w:rFonts w:eastAsia="Times New Roman"/>
                <w:b/>
                <w:bCs/>
                <w:color w:val="000000"/>
                <w:lang w:eastAsia="ja-JP"/>
              </w:rPr>
            </w:pPr>
            <w:r w:rsidRPr="005704F6">
              <w:rPr>
                <w:rFonts w:eastAsia="Times New Roman"/>
                <w:b/>
                <w:bCs/>
                <w:color w:val="000000"/>
                <w:lang w:eastAsia="ja-JP"/>
              </w:rPr>
              <w:t>100%</w:t>
            </w:r>
          </w:p>
        </w:tc>
      </w:tr>
    </w:tbl>
    <w:p w:rsidR="00933D9B" w:rsidRDefault="00933D9B" w:rsidP="00933D9B">
      <w:r w:rsidRPr="00933D9B">
        <w:t xml:space="preserve">Nell’analisi del fenomeno è da rilevare che se Giappone, Thailandia, Sri Lanka e Cina rappresentano nazioni in cui il buddismo è la religione storica prevalente, per cui i dati confermano questa appartenenza culturale, l’Italia, che si colloca al terzo posto per numero di matrimoni, è un paese in cui la diffusione del buddismo è relativamente recente e non rappresenta una religione legata solamente al mondo dell’immigrazione. La presenza di richieste con buddisti italiani conferma l’ipotesi di un numero di cattolici italiani convertiti al buddismo o di figli di convertiti al buddismo, cioè la seconda generazione di buddisti italiani. Nel decennio in </w:t>
      </w:r>
      <w:r w:rsidRPr="00933D9B">
        <w:lastRenderedPageBreak/>
        <w:t>esame le unioni di questo tipo sono 33, segnale della crescita di un buddismo autoctono</w:t>
      </w:r>
      <w:r>
        <w:t xml:space="preserve">, che comprende prevalentemente cattolici italiani convertiti.    </w:t>
      </w:r>
    </w:p>
    <w:p w:rsidR="00933D9B" w:rsidRDefault="00933D9B" w:rsidP="00933D9B">
      <w:r>
        <w:t>In conclusione</w:t>
      </w:r>
      <w:r w:rsidR="00E87985">
        <w:t>,</w:t>
      </w:r>
      <w:r>
        <w:t xml:space="preserve"> bisogna considerare i matrimoni interreligiosi non solo come l’espressione di appartenenze religiose diverse ma, ancor più di differenziazioni culturali e di sistemi giuridici specifici anche all’interno della stessa appartenenza religiosa. Ciò si evidenzia in modo particolare con musulmani e buddisti che provengono da culture religiose (sciiti, sunniti, ibaditi) e nazionali (Giappone, Thailandia, Sri Lanka, Cina, Italia). È un universo interreligioso molto diverso rispetto ai matrimoni con gli ebrei che sono in prevalenza italiani (36,36%) e statunitensi (29,29%).</w:t>
      </w:r>
    </w:p>
    <w:p w:rsidR="00101940" w:rsidRDefault="00101940" w:rsidP="00933D9B">
      <w:pPr>
        <w:pStyle w:val="Titolo2"/>
        <w:rPr>
          <w:lang w:eastAsia="it-IT"/>
        </w:rPr>
      </w:pPr>
    </w:p>
    <w:p w:rsidR="00933D9B" w:rsidRPr="005704F6" w:rsidRDefault="00933D9B" w:rsidP="00933D9B">
      <w:pPr>
        <w:pStyle w:val="Titolo2"/>
        <w:rPr>
          <w:lang w:eastAsia="it-IT"/>
        </w:rPr>
      </w:pPr>
      <w:r>
        <w:rPr>
          <w:lang w:eastAsia="it-IT"/>
        </w:rPr>
        <w:t>5.</w:t>
      </w:r>
      <w:r w:rsidR="00E87985">
        <w:rPr>
          <w:lang w:eastAsia="it-IT"/>
        </w:rPr>
        <w:t>5</w:t>
      </w:r>
      <w:r>
        <w:rPr>
          <w:lang w:eastAsia="it-IT"/>
        </w:rPr>
        <w:t xml:space="preserve"> </w:t>
      </w:r>
      <w:r w:rsidRPr="005704F6">
        <w:rPr>
          <w:lang w:eastAsia="it-IT"/>
        </w:rPr>
        <w:t>Matrimoni con Induiste/i</w:t>
      </w:r>
    </w:p>
    <w:p w:rsidR="00933D9B" w:rsidRPr="005F6BAB" w:rsidRDefault="00933D9B" w:rsidP="00933D9B">
      <w:pPr>
        <w:spacing w:line="240" w:lineRule="auto"/>
        <w:rPr>
          <w:rFonts w:eastAsia="Times New Roman"/>
          <w:sz w:val="28"/>
          <w:szCs w:val="28"/>
          <w:u w:val="single"/>
          <w:lang w:eastAsia="it-IT"/>
        </w:rPr>
      </w:pPr>
    </w:p>
    <w:p w:rsidR="00933D9B" w:rsidRPr="006246B3" w:rsidRDefault="00933D9B" w:rsidP="00933D9B">
      <w:r w:rsidRPr="006246B3">
        <w:rPr>
          <w:lang w:eastAsia="it-IT"/>
        </w:rPr>
        <w:t xml:space="preserve">Complessivamente dal 1999 al 2008 le richieste di dispense con induisti sono 45, con un andamento costante negli anni. A </w:t>
      </w:r>
      <w:r w:rsidRPr="0057033A">
        <w:rPr>
          <w:lang w:eastAsia="it-IT"/>
        </w:rPr>
        <w:t>livello quantitativo si collocano</w:t>
      </w:r>
      <w:r w:rsidRPr="0057033A">
        <w:t xml:space="preserve"> dopo quelli con i buddisti. Sebbene essi nelle analisi della religione di appartenenza degli immigrati siano più numerosi dei buddisti, questo non si evince dalla nostra ricerca.</w:t>
      </w:r>
    </w:p>
    <w:p w:rsidR="00933D9B" w:rsidRDefault="00933D9B" w:rsidP="00933D9B">
      <w:r w:rsidRPr="00613BA9">
        <w:t>Provengono in prevalenza dall’India (44%), da</w:t>
      </w:r>
      <w:r w:rsidR="00CA1AE7">
        <w:t xml:space="preserve">lle isole </w:t>
      </w:r>
      <w:r w:rsidRPr="00613BA9">
        <w:t>Mauritius (16%), dal Regno Unito (11%), dagli Stati Uniti (4%), dall’Italia (4%) e dal Nepal (4%). Nei matrimoni sono in maggioranza donne che sposano uomini ma la differenza non è significativa.</w:t>
      </w:r>
    </w:p>
    <w:p w:rsidR="00933D9B" w:rsidRDefault="00933D9B" w:rsidP="00933D9B"/>
    <w:p w:rsidR="003304F7" w:rsidRDefault="005A2510" w:rsidP="00933D9B">
      <w:pPr>
        <w:pStyle w:val="Titolo1"/>
        <w:numPr>
          <w:ilvl w:val="0"/>
          <w:numId w:val="22"/>
        </w:numPr>
      </w:pPr>
      <w:r w:rsidRPr="00303390">
        <w:t>M</w:t>
      </w:r>
      <w:r w:rsidR="003304F7" w:rsidRPr="00303390">
        <w:t xml:space="preserve">atrimoni con </w:t>
      </w:r>
      <w:r w:rsidR="006D03D4" w:rsidRPr="00303390">
        <w:t>“A</w:t>
      </w:r>
      <w:r w:rsidR="003304F7" w:rsidRPr="00303390">
        <w:t>ltri</w:t>
      </w:r>
      <w:r w:rsidR="006D03D4" w:rsidRPr="00303390">
        <w:t>”</w:t>
      </w:r>
    </w:p>
    <w:p w:rsidR="00724B3C" w:rsidRPr="00724B3C" w:rsidRDefault="00724B3C" w:rsidP="00724B3C"/>
    <w:p w:rsidR="006354A3" w:rsidRDefault="006354A3" w:rsidP="00933D9B">
      <w:r>
        <w:t>Un terzo ambito significativo, per la quantità rilevata, è la crescita</w:t>
      </w:r>
      <w:r w:rsidR="00CF0C5A">
        <w:t xml:space="preserve"> di matrimoni con </w:t>
      </w:r>
      <w:r>
        <w:t xml:space="preserve">persone “altre”, </w:t>
      </w:r>
      <w:r w:rsidR="00CA1AE7">
        <w:t xml:space="preserve">divise in </w:t>
      </w:r>
      <w:r w:rsidR="004F3D2F">
        <w:t xml:space="preserve">quattro </w:t>
      </w:r>
      <w:r>
        <w:t>categorie</w:t>
      </w:r>
      <w:r w:rsidR="004F3D2F">
        <w:t xml:space="preserve">: </w:t>
      </w:r>
      <w:r w:rsidR="006D03D4">
        <w:t>“</w:t>
      </w:r>
      <w:r>
        <w:t>non battezzate</w:t>
      </w:r>
      <w:r w:rsidR="006D03D4">
        <w:t>”</w:t>
      </w:r>
      <w:r>
        <w:t xml:space="preserve">, </w:t>
      </w:r>
      <w:r w:rsidR="006D03D4">
        <w:t>“</w:t>
      </w:r>
      <w:r>
        <w:t>abbandono formale della fede</w:t>
      </w:r>
      <w:r w:rsidR="006D03D4">
        <w:t>”</w:t>
      </w:r>
      <w:r>
        <w:t xml:space="preserve">, </w:t>
      </w:r>
      <w:r w:rsidR="006D03D4">
        <w:t>“</w:t>
      </w:r>
      <w:r>
        <w:t>abbandono notorio della fede</w:t>
      </w:r>
      <w:r w:rsidR="006D03D4">
        <w:t>”</w:t>
      </w:r>
      <w:r>
        <w:t xml:space="preserve">, </w:t>
      </w:r>
      <w:r w:rsidR="006D03D4">
        <w:t>“</w:t>
      </w:r>
      <w:r>
        <w:t>battezzati cattolici aderenti ad altre confessioni religiose e religioni</w:t>
      </w:r>
      <w:r w:rsidR="006D03D4">
        <w:t>”</w:t>
      </w:r>
      <w:r>
        <w:t xml:space="preserve">.   </w:t>
      </w:r>
    </w:p>
    <w:p w:rsidR="00101940" w:rsidRDefault="00DF205F" w:rsidP="00933D9B">
      <w:r>
        <w:t>Ne</w:t>
      </w:r>
      <w:r w:rsidR="00A83DBF">
        <w:t>l</w:t>
      </w:r>
      <w:r>
        <w:t>l</w:t>
      </w:r>
      <w:r w:rsidR="00A83DBF">
        <w:t xml:space="preserve">’insieme </w:t>
      </w:r>
      <w:r>
        <w:t>sono 3618</w:t>
      </w:r>
      <w:r w:rsidR="00B325BC">
        <w:t xml:space="preserve"> pari </w:t>
      </w:r>
      <w:r w:rsidR="003B6333" w:rsidRPr="00DE440B">
        <w:t>al 3</w:t>
      </w:r>
      <w:r w:rsidR="00E87985">
        <w:t>3</w:t>
      </w:r>
      <w:r w:rsidR="003B6333" w:rsidRPr="00DE440B">
        <w:t>% i</w:t>
      </w:r>
      <w:r w:rsidR="003B6333" w:rsidRPr="006246B3">
        <w:t xml:space="preserve"> </w:t>
      </w:r>
      <w:r>
        <w:t>matrimoni “altri” segnalati dalla nostra rilevazione</w:t>
      </w:r>
      <w:r w:rsidR="00B55A97">
        <w:t xml:space="preserve"> (tabella </w:t>
      </w:r>
      <w:r w:rsidR="00A83DBF">
        <w:t xml:space="preserve">n. </w:t>
      </w:r>
      <w:r w:rsidR="00B55A97">
        <w:t>)</w:t>
      </w:r>
      <w:r>
        <w:t xml:space="preserve">. La maggior parte di questi 2335, pari al 65%, sono matrimoni con </w:t>
      </w:r>
      <w:r w:rsidR="00A83DBF">
        <w:t>spose/i</w:t>
      </w:r>
      <w:r>
        <w:t xml:space="preserve"> non battezzati, 644 pari al 18% sono matrimoni con spos</w:t>
      </w:r>
      <w:r w:rsidR="00A83DBF">
        <w:t>e/</w:t>
      </w:r>
      <w:r>
        <w:t xml:space="preserve">i con “abbandono formale della fede”, </w:t>
      </w:r>
      <w:r w:rsidR="007561A1">
        <w:t xml:space="preserve">575 pari al 16% con </w:t>
      </w:r>
      <w:r w:rsidR="007561A1">
        <w:lastRenderedPageBreak/>
        <w:t>spos</w:t>
      </w:r>
      <w:r w:rsidR="00A83DBF">
        <w:t>e/</w:t>
      </w:r>
      <w:r w:rsidR="007561A1">
        <w:t>i con “abbandono notorio della fede”.</w:t>
      </w:r>
      <w:r w:rsidR="006E4929">
        <w:rPr>
          <w:rStyle w:val="Rimandonotaapidipagina"/>
          <w:sz w:val="28"/>
          <w:szCs w:val="28"/>
        </w:rPr>
        <w:footnoteReference w:id="7"/>
      </w:r>
      <w:r w:rsidR="007561A1">
        <w:t xml:space="preserve"> </w:t>
      </w:r>
      <w:r w:rsidR="004F3D2F">
        <w:t>Sono i</w:t>
      </w:r>
      <w:r w:rsidR="007561A1">
        <w:t xml:space="preserve">l </w:t>
      </w:r>
      <w:r w:rsidR="00BD0E24">
        <w:t>2%</w:t>
      </w:r>
      <w:r w:rsidR="007561A1">
        <w:t xml:space="preserve"> (64)</w:t>
      </w:r>
      <w:r w:rsidR="00BD0E24">
        <w:t>, un valore esiguo, i “battezzati cattolici aderenti ad altre confessioni religiose o religioni”.</w:t>
      </w:r>
      <w:r w:rsidR="00427CC6">
        <w:t xml:space="preserve"> Tra costoro si nota una diminuzione, essendo passati dal 4% nel 1999 a</w:t>
      </w:r>
      <w:r w:rsidR="00B55A97">
        <w:t>l</w:t>
      </w:r>
      <w:r w:rsidR="00427CC6">
        <w:t>l</w:t>
      </w:r>
      <w:r w:rsidR="00B55A97">
        <w:t xml:space="preserve">’1% nel 2008. </w:t>
      </w:r>
    </w:p>
    <w:p w:rsidR="00101940" w:rsidRDefault="00101940" w:rsidP="00933D9B"/>
    <w:p w:rsidR="009008C3" w:rsidRPr="00101940" w:rsidRDefault="009008C3" w:rsidP="00933D9B">
      <w:pPr>
        <w:rPr>
          <w:b/>
        </w:rPr>
      </w:pPr>
      <w:r w:rsidRPr="00101940">
        <w:rPr>
          <w:b/>
        </w:rPr>
        <w:t>Tab. n. 1</w:t>
      </w:r>
      <w:r w:rsidR="00FA2035" w:rsidRPr="00101940">
        <w:rPr>
          <w:b/>
        </w:rPr>
        <w:t>3</w:t>
      </w:r>
      <w:r w:rsidRPr="00101940">
        <w:rPr>
          <w:b/>
        </w:rPr>
        <w:t xml:space="preserve">. Totale matrimoni con “altri” </w:t>
      </w:r>
      <w:r w:rsidR="00301B6D">
        <w:rPr>
          <w:b/>
        </w:rPr>
        <w:t xml:space="preserve">per </w:t>
      </w:r>
      <w:r w:rsidR="00754598" w:rsidRPr="00101940">
        <w:rPr>
          <w:b/>
        </w:rPr>
        <w:t xml:space="preserve">categorie e genere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97"/>
        <w:gridCol w:w="775"/>
        <w:gridCol w:w="1054"/>
        <w:gridCol w:w="774"/>
        <w:gridCol w:w="1054"/>
        <w:gridCol w:w="774"/>
        <w:gridCol w:w="1050"/>
      </w:tblGrid>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Pr="00D24B99" w:rsidRDefault="006354A3">
            <w:pPr>
              <w:rPr>
                <w:lang w:bidi="en-US"/>
              </w:rPr>
            </w:pPr>
          </w:p>
        </w:tc>
        <w:tc>
          <w:tcPr>
            <w:tcW w:w="2803"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TOT Complessivo</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rPr>
                <w:lang w:val="en-US" w:bidi="en-US"/>
              </w:rPr>
            </w:pP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F</w:t>
            </w:r>
          </w:p>
        </w:tc>
        <w:tc>
          <w:tcPr>
            <w:tcW w:w="935"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M</w:t>
            </w:r>
          </w:p>
        </w:tc>
        <w:tc>
          <w:tcPr>
            <w:tcW w:w="93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TOT</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745440">
            <w:pPr>
              <w:spacing w:line="240" w:lineRule="auto"/>
              <w:rPr>
                <w:rFonts w:eastAsia="Times New Roman"/>
                <w:b/>
                <w:bCs/>
                <w:color w:val="000000"/>
                <w:lang w:eastAsia="ja-JP"/>
              </w:rPr>
            </w:pPr>
            <w:r>
              <w:rPr>
                <w:rFonts w:eastAsia="Times New Roman"/>
                <w:b/>
                <w:bCs/>
                <w:color w:val="000000"/>
                <w:lang w:eastAsia="ja-JP"/>
              </w:rPr>
              <w:t xml:space="preserve">Categoria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V.A.</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V.A.</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V.A.</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A3" w:rsidRDefault="006354A3">
            <w:pPr>
              <w:spacing w:line="240" w:lineRule="auto"/>
              <w:rPr>
                <w:rFonts w:eastAsia="Times New Roman"/>
                <w:color w:val="000000"/>
                <w:lang w:eastAsia="ja-JP"/>
              </w:rPr>
            </w:pPr>
            <w:r>
              <w:rPr>
                <w:rFonts w:eastAsia="Times New Roman"/>
                <w:color w:val="000000"/>
                <w:lang w:eastAsia="ja-JP"/>
              </w:rPr>
              <w:t>ABBANDONO FORMALE DELLA FEDE</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204</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15.21%</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440</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19.32%</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644</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17.80%</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A3" w:rsidRDefault="006354A3">
            <w:pPr>
              <w:spacing w:line="240" w:lineRule="auto"/>
              <w:rPr>
                <w:rFonts w:eastAsia="Times New Roman"/>
                <w:color w:val="000000"/>
                <w:lang w:eastAsia="ja-JP"/>
              </w:rPr>
            </w:pPr>
            <w:r>
              <w:rPr>
                <w:rFonts w:eastAsia="Times New Roman"/>
                <w:color w:val="000000"/>
                <w:lang w:eastAsia="ja-JP"/>
              </w:rPr>
              <w:t>ABBANDONO NOTORIO DELLA FEDE</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97</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7.23%</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478</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20.99%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575</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15.89%</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A3" w:rsidRDefault="006354A3">
            <w:pPr>
              <w:spacing w:line="240" w:lineRule="auto"/>
              <w:rPr>
                <w:rFonts w:eastAsia="Times New Roman"/>
                <w:color w:val="000000"/>
                <w:lang w:eastAsia="ja-JP"/>
              </w:rPr>
            </w:pPr>
            <w:r>
              <w:rPr>
                <w:rFonts w:eastAsia="Times New Roman"/>
                <w:color w:val="000000"/>
                <w:lang w:eastAsia="ja-JP"/>
              </w:rPr>
              <w:t>BATTEZZATI CATTOLICI ADERENTI AD ALTRE CONFESSIONI RELIGIOSE O RELIGIONI</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28</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2.09%</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36</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1.58%</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64</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1.77%</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6354A3" w:rsidRDefault="006354A3">
            <w:pPr>
              <w:spacing w:line="240" w:lineRule="auto"/>
              <w:rPr>
                <w:rFonts w:eastAsia="Times New Roman"/>
                <w:color w:val="000000"/>
                <w:lang w:eastAsia="ja-JP"/>
              </w:rPr>
            </w:pPr>
            <w:r>
              <w:rPr>
                <w:rFonts w:eastAsia="Times New Roman"/>
                <w:color w:val="000000"/>
                <w:lang w:eastAsia="ja-JP"/>
              </w:rPr>
              <w:t>NON BATTEZZATI</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1012</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75.47%</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1323</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58.10%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2335</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color w:val="000000"/>
                <w:lang w:eastAsia="ja-JP"/>
              </w:rPr>
            </w:pPr>
            <w:r>
              <w:rPr>
                <w:rFonts w:eastAsia="Times New Roman"/>
                <w:color w:val="000000"/>
                <w:lang w:eastAsia="ja-JP"/>
              </w:rPr>
              <w:t>64.54%</w:t>
            </w:r>
          </w:p>
        </w:tc>
      </w:tr>
      <w:tr w:rsidR="006354A3" w:rsidTr="005704F6">
        <w:trPr>
          <w:trHeight w:val="20"/>
        </w:trPr>
        <w:tc>
          <w:tcPr>
            <w:tcW w:w="21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rPr>
                <w:rFonts w:eastAsia="Times New Roman"/>
                <w:color w:val="000000"/>
                <w:lang w:eastAsia="ja-JP"/>
              </w:rPr>
            </w:pPr>
            <w:r>
              <w:rPr>
                <w:rFonts w:eastAsia="Times New Roman"/>
                <w:color w:val="000000"/>
                <w:lang w:eastAsia="ja-JP"/>
              </w:rPr>
              <w:t>TOT</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1341</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100%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2277</w:t>
            </w:r>
          </w:p>
        </w:tc>
        <w:tc>
          <w:tcPr>
            <w:tcW w:w="5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100%</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3618</w:t>
            </w:r>
          </w:p>
        </w:tc>
        <w:tc>
          <w:tcPr>
            <w:tcW w:w="5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54A3" w:rsidRDefault="006354A3">
            <w:pPr>
              <w:spacing w:line="240" w:lineRule="auto"/>
              <w:jc w:val="center"/>
              <w:rPr>
                <w:rFonts w:eastAsia="Times New Roman"/>
                <w:b/>
                <w:bCs/>
                <w:color w:val="000000"/>
                <w:lang w:eastAsia="ja-JP"/>
              </w:rPr>
            </w:pPr>
            <w:r>
              <w:rPr>
                <w:rFonts w:eastAsia="Times New Roman"/>
                <w:b/>
                <w:bCs/>
                <w:color w:val="000000"/>
                <w:lang w:eastAsia="ja-JP"/>
              </w:rPr>
              <w:t>100%</w:t>
            </w:r>
          </w:p>
        </w:tc>
      </w:tr>
    </w:tbl>
    <w:p w:rsidR="00A870A0" w:rsidRDefault="00A870A0" w:rsidP="006354A3"/>
    <w:p w:rsidR="00745440" w:rsidRDefault="00457D94" w:rsidP="00933D9B">
      <w:r>
        <w:t xml:space="preserve">Esaminando la dinamica dei matrimoni con i </w:t>
      </w:r>
      <w:r w:rsidR="007D5C27">
        <w:t>“</w:t>
      </w:r>
      <w:r>
        <w:t>non battezzati</w:t>
      </w:r>
      <w:r w:rsidR="007D5C27">
        <w:t>”</w:t>
      </w:r>
      <w:r>
        <w:t xml:space="preserve"> nel decennio esaminato, notiamo un andamento non lineare,</w:t>
      </w:r>
      <w:r w:rsidR="007561A1">
        <w:t xml:space="preserve"> altalenante</w:t>
      </w:r>
      <w:r w:rsidR="00ED465D">
        <w:t xml:space="preserve">, </w:t>
      </w:r>
      <w:r>
        <w:t xml:space="preserve">tuttavia in </w:t>
      </w:r>
      <w:r w:rsidR="007561A1">
        <w:t>leggera de</w:t>
      </w:r>
      <w:r w:rsidR="006D03D4">
        <w:t>-</w:t>
      </w:r>
      <w:r>
        <w:t>crescita</w:t>
      </w:r>
      <w:r w:rsidR="007D5C27">
        <w:t xml:space="preserve"> dal 1999 (</w:t>
      </w:r>
      <w:r w:rsidR="007561A1">
        <w:t>62</w:t>
      </w:r>
      <w:r w:rsidR="007D5C27">
        <w:t xml:space="preserve">%) al 2008 (58%), con un picco del </w:t>
      </w:r>
      <w:r w:rsidR="00955A46">
        <w:t>72%</w:t>
      </w:r>
      <w:r w:rsidR="007D5C27">
        <w:t xml:space="preserve"> nel 2004. </w:t>
      </w:r>
    </w:p>
    <w:p w:rsidR="00955A46" w:rsidRDefault="00955A46" w:rsidP="00933D9B">
      <w:r>
        <w:t xml:space="preserve">Di gran lunga più veloce è la crescita di coloro che hanno fatto un “abbandono formale della fede”, i quali sono </w:t>
      </w:r>
      <w:r w:rsidR="00427CC6">
        <w:t xml:space="preserve">quasi triplicati </w:t>
      </w:r>
      <w:r>
        <w:t>dal 1999 (1</w:t>
      </w:r>
      <w:r w:rsidR="007561A1">
        <w:t>1</w:t>
      </w:r>
      <w:r>
        <w:t xml:space="preserve">%) al 2008 (30%). </w:t>
      </w:r>
    </w:p>
    <w:p w:rsidR="00BA7A21" w:rsidRDefault="00BA7A21" w:rsidP="00933D9B">
      <w:r>
        <w:t xml:space="preserve">Considerando la distinzione dei matrimoni con “altri” per aree territoriali, si osserva che il 58% si celebrano nel Centro, il 6% nelle isole, il 16% nel Nord Est, il 15% nel Nord Ovest e il 5% nel Sud. In conclusione le aree maggiormente interessate sono il Nord e soprattutto il Centro. </w:t>
      </w:r>
      <w:r w:rsidR="003615F7" w:rsidRPr="006246B3">
        <w:t xml:space="preserve">Nel Sud e nelle isole si celebra l’11% del matrimoni con “altri”. Si conferma quanto emerge anche da </w:t>
      </w:r>
      <w:r w:rsidR="003615F7" w:rsidRPr="003615F7">
        <w:t>altre ricerche sulla differente modalità di vivere</w:t>
      </w:r>
      <w:r w:rsidR="003615F7" w:rsidRPr="006246B3">
        <w:t xml:space="preserve"> la religione nel nostro paese</w:t>
      </w:r>
      <w:r w:rsidR="003615F7" w:rsidRPr="006246B3">
        <w:rPr>
          <w:rStyle w:val="Rimandonotaapidipagina"/>
          <w:sz w:val="28"/>
          <w:szCs w:val="28"/>
        </w:rPr>
        <w:footnoteReference w:id="8"/>
      </w:r>
      <w:r w:rsidR="003615F7" w:rsidRPr="006246B3">
        <w:t>, che configura una situazione territoriale a “macchia di leopardo” e molto fluida.</w:t>
      </w:r>
      <w:r w:rsidR="003615F7">
        <w:t xml:space="preserve">  </w:t>
      </w:r>
    </w:p>
    <w:p w:rsidR="00697917" w:rsidRDefault="00697917" w:rsidP="00697917">
      <w:r>
        <w:lastRenderedPageBreak/>
        <w:t xml:space="preserve">Incrociando l’insieme delle quattro categorie con le 83 diocesi si evidenzia una concentrazione nelle diocesi di Roma, </w:t>
      </w:r>
      <w:r w:rsidRPr="00322F01">
        <w:t>per il 13% (461) nella diocesi di Firenze, per il 4% (156) nella diocesi di Pisa, per il 4% (149) nella diocesi di Bologna, 4% (141) nella diocesi di Como, 4% (127) nella diocesi</w:t>
      </w:r>
      <w:r>
        <w:t xml:space="preserve"> di Genova, per il 3% (125) nella diocesi di Bergamo, per il 3% (97) nella diocesi di Reggio Emilia-Guastalla e per il 3% (91) nella diocesi di Cagliari e Porto Santa Rufina (2%- 75) </w:t>
      </w:r>
      <w:r>
        <w:rPr>
          <w:rStyle w:val="Rimandonotaapidipagina"/>
          <w:sz w:val="28"/>
          <w:szCs w:val="28"/>
        </w:rPr>
        <w:footnoteReference w:id="9"/>
      </w:r>
      <w:r>
        <w:t>.</w:t>
      </w:r>
    </w:p>
    <w:p w:rsidR="00E72284" w:rsidRDefault="00E72284" w:rsidP="00933D9B">
      <w:pPr>
        <w:rPr>
          <w:lang w:eastAsia="it-IT"/>
        </w:rPr>
      </w:pPr>
      <w:r w:rsidRPr="00161B68">
        <w:rPr>
          <w:lang w:eastAsia="it-IT"/>
        </w:rPr>
        <w:t>In conclusione</w:t>
      </w:r>
      <w:r w:rsidR="00B96151">
        <w:rPr>
          <w:lang w:eastAsia="it-IT"/>
        </w:rPr>
        <w:t>,</w:t>
      </w:r>
      <w:r w:rsidRPr="00161B68">
        <w:rPr>
          <w:lang w:eastAsia="it-IT"/>
        </w:rPr>
        <w:t xml:space="preserve"> possiamo affermare che ci sia una certa omogeneità </w:t>
      </w:r>
      <w:r>
        <w:rPr>
          <w:lang w:eastAsia="it-IT"/>
        </w:rPr>
        <w:t xml:space="preserve">di diocesi </w:t>
      </w:r>
      <w:r w:rsidRPr="00161B68">
        <w:rPr>
          <w:lang w:eastAsia="it-IT"/>
        </w:rPr>
        <w:t xml:space="preserve">nelle quali si celebrano le categorie di matrimoni analizzati.  </w:t>
      </w:r>
    </w:p>
    <w:p w:rsidR="00CD4980" w:rsidRDefault="002F418A" w:rsidP="00933D9B">
      <w:r>
        <w:t>Inoltre è da considerare l’alto valore che raggiunge l’insieme dei due gruppi che abbandonano la fede, che costituisce il 34% (pari a 1219 ex-cattolici)</w:t>
      </w:r>
      <w:r w:rsidR="00427CC6">
        <w:t xml:space="preserve">, che diventano 1283 (36%) se aggiungiamo </w:t>
      </w:r>
      <w:r w:rsidR="006D03D4">
        <w:t xml:space="preserve">battezzati </w:t>
      </w:r>
      <w:r w:rsidR="00427CC6">
        <w:t xml:space="preserve">cattolici che sono passati ad altra </w:t>
      </w:r>
      <w:r w:rsidR="006D03D4">
        <w:t xml:space="preserve">confessione o </w:t>
      </w:r>
      <w:r w:rsidR="00427CC6">
        <w:t>religione.</w:t>
      </w:r>
      <w:r>
        <w:t xml:space="preserve"> </w:t>
      </w:r>
    </w:p>
    <w:p w:rsidR="00227FB2" w:rsidRDefault="00227FB2" w:rsidP="00933D9B">
      <w:r w:rsidRPr="00CA1AE7">
        <w:t xml:space="preserve">È molto </w:t>
      </w:r>
      <w:r w:rsidR="006D03D4" w:rsidRPr="00CA1AE7">
        <w:t>significativa l</w:t>
      </w:r>
      <w:r w:rsidRPr="00CA1AE7">
        <w:t>a dinamica nel decennio esaminata della totalità degli “abbandoni della fede” che da 89 nel 1999 sono cresciuti a 21</w:t>
      </w:r>
      <w:r w:rsidR="00DC7D18" w:rsidRPr="00CA1AE7">
        <w:t>2</w:t>
      </w:r>
      <w:r w:rsidRPr="00CA1AE7">
        <w:t xml:space="preserve"> nel 2008. </w:t>
      </w:r>
      <w:r>
        <w:t>L’aumento è stato galoppante negli ultimi due anni esaminati</w:t>
      </w:r>
      <w:r w:rsidR="00CA1AE7">
        <w:t xml:space="preserve">. </w:t>
      </w:r>
      <w:r>
        <w:t xml:space="preserve"> </w:t>
      </w:r>
      <w:r w:rsidR="00B55A97">
        <w:t xml:space="preserve"> </w:t>
      </w:r>
    </w:p>
    <w:p w:rsidR="00227FB2" w:rsidRDefault="00891A7D" w:rsidP="00933D9B">
      <w:r>
        <w:t xml:space="preserve">Emerge con evidenza </w:t>
      </w:r>
      <w:r w:rsidR="00227FB2">
        <w:t xml:space="preserve">come questo </w:t>
      </w:r>
      <w:r w:rsidR="006D03D4">
        <w:t xml:space="preserve">sia </w:t>
      </w:r>
      <w:r w:rsidR="00227FB2">
        <w:t>un problema tutto interno alla Chiesa cattolica</w:t>
      </w:r>
      <w:r w:rsidR="00CA1AE7">
        <w:t xml:space="preserve">, </w:t>
      </w:r>
      <w:r w:rsidR="00F40D5A">
        <w:t xml:space="preserve">che pone parecchi interrogativi sulla </w:t>
      </w:r>
      <w:r w:rsidR="00E87985">
        <w:t>“</w:t>
      </w:r>
      <w:r w:rsidR="00F40D5A">
        <w:t>qualità della fede</w:t>
      </w:r>
      <w:r w:rsidR="00E87985">
        <w:t>”</w:t>
      </w:r>
      <w:r w:rsidR="00F40D5A">
        <w:t xml:space="preserve"> dei credenti</w:t>
      </w:r>
      <w:r w:rsidR="009C5F77">
        <w:t xml:space="preserve">, dal momento che </w:t>
      </w:r>
      <w:r w:rsidR="00777E3C">
        <w:t xml:space="preserve">essi </w:t>
      </w:r>
      <w:r w:rsidR="00F40D5A">
        <w:t xml:space="preserve">sono disposti ad abbandonarla senza </w:t>
      </w:r>
      <w:r w:rsidR="00590CAB">
        <w:t xml:space="preserve">fare </w:t>
      </w:r>
      <w:r w:rsidR="00DC7D18">
        <w:t xml:space="preserve">opzione alcuna per </w:t>
      </w:r>
      <w:r w:rsidR="00F40D5A">
        <w:t>altra confessione o religione, in definitiva scegliendo di escludere ogni riferimento religioso dalla propria vita</w:t>
      </w:r>
      <w:r w:rsidR="00DC7D18">
        <w:t>. Sono molte</w:t>
      </w:r>
      <w:r w:rsidR="00092C65">
        <w:t>, infatti,</w:t>
      </w:r>
      <w:r w:rsidR="00DC7D18">
        <w:t xml:space="preserve"> le domande che, come credenti, </w:t>
      </w:r>
      <w:r w:rsidR="009C5F77">
        <w:t>possiamo e dobbiamo porci:</w:t>
      </w:r>
      <w:r w:rsidR="00DC7D18">
        <w:t xml:space="preserve"> </w:t>
      </w:r>
      <w:r w:rsidR="00092C65">
        <w:t>c</w:t>
      </w:r>
      <w:r w:rsidR="00F40D5A">
        <w:t xml:space="preserve">he cosa può essere accaduto nella vita di un credente per scegliere una vita senza Dio? </w:t>
      </w:r>
      <w:r w:rsidR="00DC7D18">
        <w:t xml:space="preserve">E per farne esplicita richiesta di abbandono? </w:t>
      </w:r>
    </w:p>
    <w:p w:rsidR="00227FB2" w:rsidRDefault="00777E3C" w:rsidP="00933D9B">
      <w:r>
        <w:t xml:space="preserve">Soprattutto nel momento storico attuale, l’anno della fede, non ci si può esimere  da questo tema. </w:t>
      </w:r>
      <w:r w:rsidR="00CA1AE7">
        <w:t>Nell’insieme q</w:t>
      </w:r>
      <w:r w:rsidR="00D768DF">
        <w:t xml:space="preserve">uesti </w:t>
      </w:r>
      <w:r w:rsidR="00DF1CD8">
        <w:t xml:space="preserve">dati sono coerenti con quanto detto e confermano l’ipotesi di una “crisi” </w:t>
      </w:r>
      <w:r w:rsidR="00745440">
        <w:t xml:space="preserve">o </w:t>
      </w:r>
      <w:r w:rsidR="006E6AD0">
        <w:t xml:space="preserve">un </w:t>
      </w:r>
      <w:r w:rsidR="00745440">
        <w:t xml:space="preserve">“disagio” </w:t>
      </w:r>
      <w:r w:rsidR="00DF1CD8">
        <w:t xml:space="preserve">di </w:t>
      </w:r>
      <w:r w:rsidR="00745440">
        <w:t xml:space="preserve">una parte dei </w:t>
      </w:r>
      <w:r w:rsidR="00DF1CD8">
        <w:t xml:space="preserve">cattolici che si esprime prevalentemente con l’abbandono della religione cattolica </w:t>
      </w:r>
      <w:r w:rsidR="009C5F77">
        <w:t xml:space="preserve">insieme </w:t>
      </w:r>
      <w:r w:rsidR="00745440">
        <w:t xml:space="preserve">con la </w:t>
      </w:r>
      <w:r w:rsidR="009C5F77">
        <w:t xml:space="preserve">diminuzione di </w:t>
      </w:r>
      <w:r w:rsidR="00DF1CD8">
        <w:t>coloro che scelgono un’altra confessione o religione</w:t>
      </w:r>
      <w:r w:rsidR="006A6EAB">
        <w:t>.</w:t>
      </w:r>
      <w:r w:rsidR="00DF1CD8">
        <w:t xml:space="preserve"> </w:t>
      </w:r>
    </w:p>
    <w:p w:rsidR="00CD4980" w:rsidRDefault="00CA1AE7" w:rsidP="00933D9B">
      <w:r>
        <w:t>Analizzando questi dati nell’ottica del genere risulta evidente che</w:t>
      </w:r>
      <w:r w:rsidR="00DF1CD8">
        <w:t xml:space="preserve">, </w:t>
      </w:r>
      <w:r w:rsidR="00092C65">
        <w:t xml:space="preserve">nel totale dei 2335 matrimoni, </w:t>
      </w:r>
      <w:r w:rsidR="00CD4980">
        <w:t xml:space="preserve">sono in maggioranza </w:t>
      </w:r>
      <w:r w:rsidR="00260280">
        <w:t xml:space="preserve">le donne </w:t>
      </w:r>
      <w:r w:rsidR="00CD4980">
        <w:t xml:space="preserve">cattoliche che </w:t>
      </w:r>
      <w:r w:rsidR="00092C65">
        <w:t xml:space="preserve">hanno </w:t>
      </w:r>
      <w:r w:rsidR="00CD4980">
        <w:t>sposa</w:t>
      </w:r>
      <w:r w:rsidR="00092C65">
        <w:t xml:space="preserve">to </w:t>
      </w:r>
      <w:r w:rsidR="00CD4980">
        <w:t xml:space="preserve">uomini </w:t>
      </w:r>
      <w:r w:rsidR="00092C65">
        <w:t>“</w:t>
      </w:r>
      <w:r w:rsidR="00CD4980">
        <w:t>non battezzat</w:t>
      </w:r>
      <w:r w:rsidR="00444CCF">
        <w:t>i</w:t>
      </w:r>
      <w:r w:rsidR="00092C65">
        <w:t>”</w:t>
      </w:r>
      <w:r w:rsidR="00CD4980">
        <w:t xml:space="preserve"> (</w:t>
      </w:r>
      <w:r w:rsidR="00444CCF">
        <w:t>13</w:t>
      </w:r>
      <w:r w:rsidR="00092C65">
        <w:t>2</w:t>
      </w:r>
      <w:r w:rsidR="00444CCF">
        <w:t>3)</w:t>
      </w:r>
      <w:r w:rsidR="00CD4980">
        <w:t xml:space="preserve"> rispetto ai matrimoni con</w:t>
      </w:r>
      <w:r w:rsidR="00444CCF">
        <w:t xml:space="preserve"> donne non </w:t>
      </w:r>
      <w:r w:rsidR="00092C65">
        <w:t>“</w:t>
      </w:r>
      <w:r w:rsidR="00444CCF">
        <w:t>battezzate</w:t>
      </w:r>
      <w:r w:rsidR="00092C65">
        <w:t>”</w:t>
      </w:r>
      <w:r w:rsidR="00444CCF">
        <w:t xml:space="preserve"> (1012)</w:t>
      </w:r>
      <w:r w:rsidR="00CD4980">
        <w:t>.</w:t>
      </w:r>
    </w:p>
    <w:p w:rsidR="00F653D2" w:rsidRDefault="00F653D2" w:rsidP="00933D9B">
      <w:r>
        <w:t>In conclusione</w:t>
      </w:r>
      <w:r w:rsidR="00E87985">
        <w:t>,</w:t>
      </w:r>
      <w:r>
        <w:t xml:space="preserve"> </w:t>
      </w:r>
      <w:r w:rsidR="00B07DAB" w:rsidRPr="001615FA">
        <w:t xml:space="preserve">sono cioè donne cattoliche che hanno sposato uomini che si trovavano </w:t>
      </w:r>
      <w:r w:rsidR="001615FA" w:rsidRPr="001615FA">
        <w:t xml:space="preserve">in ognuna delle condizioni esaminate. </w:t>
      </w:r>
    </w:p>
    <w:p w:rsidR="00101940" w:rsidRDefault="00101940" w:rsidP="00933D9B"/>
    <w:p w:rsidR="004418CE" w:rsidRPr="00101940" w:rsidRDefault="00933D9B" w:rsidP="00933D9B">
      <w:pPr>
        <w:rPr>
          <w:b/>
        </w:rPr>
      </w:pPr>
      <w:r w:rsidRPr="00101940">
        <w:rPr>
          <w:b/>
        </w:rPr>
        <w:lastRenderedPageBreak/>
        <w:t xml:space="preserve">Tab. n. </w:t>
      </w:r>
      <w:r w:rsidR="00FA2035" w:rsidRPr="00101940">
        <w:rPr>
          <w:b/>
        </w:rPr>
        <w:t>14</w:t>
      </w:r>
      <w:r w:rsidRPr="00101940">
        <w:rPr>
          <w:b/>
        </w:rPr>
        <w:t xml:space="preserve">. Totale matrimoni con “altri” </w:t>
      </w:r>
      <w:r w:rsidR="00301B6D">
        <w:rPr>
          <w:b/>
        </w:rPr>
        <w:t xml:space="preserve">per </w:t>
      </w:r>
      <w:r w:rsidRPr="00101940">
        <w:rPr>
          <w:b/>
        </w:rPr>
        <w:t xml:space="preserve">nazione e genere </w:t>
      </w:r>
      <w:r w:rsidRPr="00101940">
        <w:rPr>
          <w:b/>
          <w:sz w:val="28"/>
          <w:szCs w:val="28"/>
        </w:rPr>
        <w:t xml:space="preserve">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061"/>
        <w:gridCol w:w="1471"/>
        <w:gridCol w:w="1471"/>
        <w:gridCol w:w="1132"/>
        <w:gridCol w:w="1410"/>
        <w:gridCol w:w="823"/>
        <w:gridCol w:w="1410"/>
      </w:tblGrid>
      <w:tr w:rsidR="0048224C" w:rsidRPr="0090742C" w:rsidTr="002128FA">
        <w:trPr>
          <w:trHeight w:val="300"/>
        </w:trPr>
        <w:tc>
          <w:tcPr>
            <w:tcW w:w="1054" w:type="pct"/>
            <w:shd w:val="clear" w:color="auto" w:fill="auto"/>
            <w:noWrap/>
            <w:vAlign w:val="center"/>
            <w:hideMark/>
          </w:tcPr>
          <w:p w:rsidR="0048224C" w:rsidRDefault="0048224C" w:rsidP="002128FA">
            <w:pPr>
              <w:spacing w:line="240" w:lineRule="auto"/>
              <w:rPr>
                <w:rFonts w:eastAsia="Times New Roman"/>
                <w:b/>
                <w:bCs/>
                <w:lang w:eastAsia="ja-JP"/>
              </w:rPr>
            </w:pPr>
            <w:r>
              <w:rPr>
                <w:rFonts w:eastAsia="Times New Roman"/>
                <w:b/>
                <w:bCs/>
                <w:lang w:eastAsia="ja-JP"/>
              </w:rPr>
              <w:t>Nazioni</w:t>
            </w:r>
          </w:p>
        </w:tc>
        <w:tc>
          <w:tcPr>
            <w:tcW w:w="1504" w:type="pct"/>
            <w:gridSpan w:val="2"/>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Donne</w:t>
            </w:r>
          </w:p>
        </w:tc>
        <w:tc>
          <w:tcPr>
            <w:tcW w:w="1300" w:type="pct"/>
            <w:gridSpan w:val="2"/>
            <w:shd w:val="clear" w:color="auto" w:fill="auto"/>
            <w:noWrap/>
            <w:vAlign w:val="center"/>
            <w:hideMark/>
          </w:tcPr>
          <w:p w:rsidR="0048224C" w:rsidRDefault="0048224C" w:rsidP="002128FA">
            <w:pPr>
              <w:spacing w:line="240" w:lineRule="auto"/>
              <w:jc w:val="center"/>
              <w:rPr>
                <w:rFonts w:eastAsia="Times New Roman"/>
                <w:b/>
                <w:bCs/>
                <w:lang w:eastAsia="ja-JP"/>
              </w:rPr>
            </w:pPr>
            <w:r>
              <w:rPr>
                <w:rFonts w:eastAsia="Times New Roman"/>
                <w:b/>
                <w:bCs/>
                <w:lang w:eastAsia="ja-JP"/>
              </w:rPr>
              <w:t>Uomini</w:t>
            </w:r>
          </w:p>
        </w:tc>
        <w:tc>
          <w:tcPr>
            <w:tcW w:w="1142" w:type="pct"/>
            <w:gridSpan w:val="2"/>
            <w:shd w:val="clear" w:color="auto" w:fill="auto"/>
            <w:noWrap/>
            <w:vAlign w:val="center"/>
            <w:hideMark/>
          </w:tcPr>
          <w:p w:rsidR="0048224C" w:rsidRDefault="0048224C" w:rsidP="002128FA">
            <w:pPr>
              <w:spacing w:line="240" w:lineRule="auto"/>
              <w:jc w:val="center"/>
              <w:rPr>
                <w:rFonts w:eastAsia="Times New Roman"/>
                <w:b/>
                <w:bCs/>
                <w:lang w:eastAsia="ja-JP"/>
              </w:rPr>
            </w:pPr>
            <w:r>
              <w:rPr>
                <w:rFonts w:eastAsia="Times New Roman"/>
                <w:b/>
                <w:bCs/>
                <w:lang w:eastAsia="ja-JP"/>
              </w:rPr>
              <w:t>TOT</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b/>
                <w:bCs/>
                <w:lang w:eastAsia="ja-JP"/>
              </w:rPr>
            </w:pP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V.A.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sidRPr="0090742C">
              <w:rPr>
                <w:rFonts w:eastAsia="Times New Roman"/>
                <w:b/>
                <w:bCs/>
                <w:lang w:eastAsia="ja-JP"/>
              </w:rPr>
              <w:t>%</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V.A.</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V.A.</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b/>
                <w:bCs/>
                <w:lang w:eastAsia="ja-JP"/>
              </w:rPr>
            </w:pPr>
            <w:r>
              <w:rPr>
                <w:rFonts w:eastAsia="Times New Roman"/>
                <w:b/>
                <w:bCs/>
                <w:lang w:eastAsia="ja-JP"/>
              </w:rPr>
              <w:t>%</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Italia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614</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45.79%</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1582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69.48%</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2196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60.70%</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Regno Unito</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56</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4.18%</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112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4.92%</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168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4.64%</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Albania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80</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5.97%</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71</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3.12%</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151</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4.17%</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Germania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53</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3.95%</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71</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3.12%</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124</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3.43%</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Usa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47</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3.50%</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2.90%</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113</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3.12%</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Francia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30</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2.24%</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2.11%</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2.16%</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Olanda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33</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2.46%</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1.41%</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65</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1.80%</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Giappone</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49</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3.65%</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0.44%</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59</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1.63%</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Cuba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32</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2.39%</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0.70%</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1.33%</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Cina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26</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1.94%</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0.53%</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1.05%</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Australia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14</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1.04%</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15</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0.66%</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29</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0.80%</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Nigeria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25</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1.86%</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4</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0.18%</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29</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0.80%</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Repubblica Ceca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22</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1.64%</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0.04%</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23</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0.64%</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Russia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21</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1.57%</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0.09%</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23</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0.64%</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Austria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0.75%</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0.31%</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0.47%</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Brasile</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12</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0.89%</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0.22%</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0.47%</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Argentina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0.45%</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11</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0.48%</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0.47%</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Canada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0.75%</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0.26%</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0.44%</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Svezia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5</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0.37%</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0.31%</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12</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0.33%</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Romania</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7</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0.52%</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0.13%</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0.28%</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Altri</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189</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14.09%</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196</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8.61%</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385</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10.64%</w:t>
            </w:r>
          </w:p>
        </w:tc>
      </w:tr>
      <w:tr w:rsidR="0048224C" w:rsidRPr="0090742C" w:rsidTr="002128FA">
        <w:trPr>
          <w:trHeight w:val="300"/>
        </w:trPr>
        <w:tc>
          <w:tcPr>
            <w:tcW w:w="1054" w:type="pct"/>
            <w:shd w:val="clear" w:color="auto" w:fill="auto"/>
            <w:noWrap/>
            <w:vAlign w:val="center"/>
            <w:hideMark/>
          </w:tcPr>
          <w:p w:rsidR="0048224C" w:rsidRPr="0090742C" w:rsidRDefault="0048224C" w:rsidP="002128FA">
            <w:pPr>
              <w:spacing w:line="240" w:lineRule="auto"/>
              <w:rPr>
                <w:rFonts w:eastAsia="Times New Roman"/>
                <w:color w:val="000000"/>
                <w:lang w:eastAsia="ja-JP"/>
              </w:rPr>
            </w:pPr>
            <w:r w:rsidRPr="0090742C">
              <w:rPr>
                <w:rFonts w:eastAsia="Times New Roman"/>
                <w:color w:val="000000"/>
                <w:lang w:eastAsia="ja-JP"/>
              </w:rPr>
              <w:t>TOT</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1341</w:t>
            </w:r>
          </w:p>
        </w:tc>
        <w:tc>
          <w:tcPr>
            <w:tcW w:w="752"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100%</w:t>
            </w:r>
          </w:p>
        </w:tc>
        <w:tc>
          <w:tcPr>
            <w:tcW w:w="579"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2277</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100%</w:t>
            </w:r>
          </w:p>
        </w:tc>
        <w:tc>
          <w:tcPr>
            <w:tcW w:w="4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3618</w:t>
            </w:r>
          </w:p>
        </w:tc>
        <w:tc>
          <w:tcPr>
            <w:tcW w:w="721" w:type="pct"/>
            <w:shd w:val="clear" w:color="auto" w:fill="auto"/>
            <w:noWrap/>
            <w:vAlign w:val="center"/>
            <w:hideMark/>
          </w:tcPr>
          <w:p w:rsidR="0048224C" w:rsidRPr="0090742C" w:rsidRDefault="0048224C" w:rsidP="002128FA">
            <w:pPr>
              <w:spacing w:line="240" w:lineRule="auto"/>
              <w:jc w:val="center"/>
              <w:rPr>
                <w:rFonts w:eastAsia="Times New Roman"/>
                <w:color w:val="000000"/>
                <w:lang w:eastAsia="ja-JP"/>
              </w:rPr>
            </w:pPr>
            <w:r w:rsidRPr="0090742C">
              <w:rPr>
                <w:rFonts w:eastAsia="Times New Roman"/>
                <w:color w:val="000000"/>
                <w:lang w:eastAsia="ja-JP"/>
              </w:rPr>
              <w:t>100%</w:t>
            </w:r>
          </w:p>
        </w:tc>
      </w:tr>
    </w:tbl>
    <w:p w:rsidR="0048224C" w:rsidRPr="0084127F" w:rsidRDefault="0048224C" w:rsidP="00B07DAB">
      <w:pPr>
        <w:spacing w:line="240" w:lineRule="auto"/>
        <w:rPr>
          <w:sz w:val="28"/>
          <w:szCs w:val="28"/>
          <w:highlight w:val="cyan"/>
        </w:rPr>
      </w:pPr>
    </w:p>
    <w:p w:rsidR="00B07DAB" w:rsidRPr="0084127F" w:rsidRDefault="00B07DAB" w:rsidP="00B07DAB">
      <w:pPr>
        <w:spacing w:line="240" w:lineRule="auto"/>
        <w:rPr>
          <w:sz w:val="28"/>
          <w:szCs w:val="28"/>
          <w:highlight w:val="cyan"/>
        </w:rPr>
      </w:pPr>
      <w:r w:rsidRPr="0084127F">
        <w:rPr>
          <w:sz w:val="28"/>
          <w:szCs w:val="28"/>
          <w:highlight w:val="cyan"/>
        </w:rPr>
        <w:t xml:space="preserve">  </w:t>
      </w:r>
    </w:p>
    <w:p w:rsidR="007B6660" w:rsidRDefault="009C5F77" w:rsidP="00933D9B">
      <w:r>
        <w:t>Particolare rilie</w:t>
      </w:r>
      <w:r w:rsidR="006A6EAB">
        <w:t xml:space="preserve">vo per la Chiesa italiana assume l’analisi dei dati rispetto alla nazionalità, dal momento che </w:t>
      </w:r>
      <w:r>
        <w:t xml:space="preserve">oltre la metà, il </w:t>
      </w:r>
      <w:r w:rsidR="006A6EAB">
        <w:t>6</w:t>
      </w:r>
      <w:r w:rsidR="00E01925">
        <w:t>1</w:t>
      </w:r>
      <w:r w:rsidR="006A6EAB">
        <w:t xml:space="preserve">% (2196) dei matrimoni </w:t>
      </w:r>
      <w:r w:rsidR="00CB23B9">
        <w:t xml:space="preserve">“altri” sono </w:t>
      </w:r>
      <w:r w:rsidR="006A6EAB">
        <w:t xml:space="preserve">con </w:t>
      </w:r>
      <w:r w:rsidR="00CB23B9">
        <w:t>italiani</w:t>
      </w:r>
      <w:r w:rsidR="006A6EAB">
        <w:t xml:space="preserve">, </w:t>
      </w:r>
      <w:r w:rsidR="00CB23B9">
        <w:t>cittadini provenienti dal R</w:t>
      </w:r>
      <w:r w:rsidR="006A6EAB">
        <w:t>egno Unito 1</w:t>
      </w:r>
      <w:r w:rsidR="00CB23B9">
        <w:t>68</w:t>
      </w:r>
      <w:r w:rsidR="006A6EAB">
        <w:t xml:space="preserve"> (5%), Germania</w:t>
      </w:r>
      <w:r w:rsidR="00CB23B9">
        <w:t xml:space="preserve"> 151 (4%), </w:t>
      </w:r>
      <w:r w:rsidR="006A6EAB">
        <w:t>Albania</w:t>
      </w:r>
      <w:r w:rsidR="00CB23B9">
        <w:t xml:space="preserve"> (3%) 124, </w:t>
      </w:r>
      <w:r w:rsidR="006A6EAB">
        <w:t>Stati Uniti</w:t>
      </w:r>
      <w:r w:rsidR="00CB23B9">
        <w:t xml:space="preserve"> 113 (3%) e </w:t>
      </w:r>
      <w:r w:rsidR="006A6EAB">
        <w:t xml:space="preserve">Francia </w:t>
      </w:r>
      <w:r w:rsidR="00CB23B9">
        <w:t>78</w:t>
      </w:r>
      <w:r w:rsidR="006A6EAB">
        <w:t xml:space="preserve"> </w:t>
      </w:r>
      <w:r w:rsidR="00CB23B9">
        <w:t>(2%)</w:t>
      </w:r>
      <w:r w:rsidR="00F653D2">
        <w:rPr>
          <w:rStyle w:val="Rimandonotaapidipagina"/>
          <w:sz w:val="28"/>
          <w:szCs w:val="28"/>
        </w:rPr>
        <w:footnoteReference w:id="10"/>
      </w:r>
      <w:r w:rsidR="00F653D2">
        <w:t>.</w:t>
      </w:r>
      <w:r w:rsidR="007B6660">
        <w:t xml:space="preserve"> </w:t>
      </w:r>
    </w:p>
    <w:p w:rsidR="00213609" w:rsidRDefault="00D14D3E" w:rsidP="007B6660">
      <w:r>
        <w:t xml:space="preserve">Facendo un’analisi più approfondita, </w:t>
      </w:r>
      <w:r w:rsidR="00A543E1">
        <w:t>anche la</w:t>
      </w:r>
      <w:r w:rsidR="008717A0">
        <w:t xml:space="preserve"> nazionalità prevalente tra i </w:t>
      </w:r>
      <w:r w:rsidR="00590CAB">
        <w:t>“</w:t>
      </w:r>
      <w:r w:rsidR="00A543E1">
        <w:t>non battezzati</w:t>
      </w:r>
      <w:r w:rsidR="00590CAB">
        <w:t>”</w:t>
      </w:r>
      <w:r w:rsidR="00A543E1">
        <w:t xml:space="preserve"> </w:t>
      </w:r>
      <w:r w:rsidR="008717A0">
        <w:t>è l’Italia</w:t>
      </w:r>
      <w:r w:rsidR="00590CAB">
        <w:t xml:space="preserve"> (46%) </w:t>
      </w:r>
      <w:r w:rsidR="00A543E1">
        <w:t>, seguit</w:t>
      </w:r>
      <w:r w:rsidR="008717A0">
        <w:t>a</w:t>
      </w:r>
      <w:r w:rsidR="00A543E1">
        <w:t xml:space="preserve"> da Regno Unito (7%), Albania (6%), Stati Uniti (5%), </w:t>
      </w:r>
      <w:r w:rsidR="003F5030">
        <w:t xml:space="preserve">nessun dato (5%), </w:t>
      </w:r>
      <w:r w:rsidR="00A543E1">
        <w:t>Germania (4%), Francia (3%), Olanda (3%), Giappone  (3%)</w:t>
      </w:r>
      <w:r w:rsidR="00213609">
        <w:t xml:space="preserve"> e</w:t>
      </w:r>
      <w:r w:rsidR="00A543E1">
        <w:t xml:space="preserve"> Cuba (2%). </w:t>
      </w:r>
    </w:p>
    <w:p w:rsidR="00F96A44" w:rsidRDefault="00F96A44" w:rsidP="007B6660"/>
    <w:p w:rsidR="00101940" w:rsidRDefault="00101940" w:rsidP="007B6660"/>
    <w:p w:rsidR="0086380D" w:rsidRPr="00101940" w:rsidRDefault="00E87985" w:rsidP="007B6660">
      <w:pPr>
        <w:rPr>
          <w:b/>
        </w:rPr>
      </w:pPr>
      <w:r>
        <w:rPr>
          <w:b/>
        </w:rPr>
        <w:lastRenderedPageBreak/>
        <w:t>T</w:t>
      </w:r>
      <w:r w:rsidR="00213609" w:rsidRPr="00101940">
        <w:rPr>
          <w:b/>
        </w:rPr>
        <w:t>a</w:t>
      </w:r>
      <w:r w:rsidR="00BC2E4C" w:rsidRPr="00101940">
        <w:rPr>
          <w:b/>
        </w:rPr>
        <w:t>b.</w:t>
      </w:r>
      <w:r w:rsidR="002F21D9" w:rsidRPr="00101940">
        <w:rPr>
          <w:b/>
        </w:rPr>
        <w:t xml:space="preserve"> n. </w:t>
      </w:r>
      <w:r w:rsidR="00FA2035" w:rsidRPr="00101940">
        <w:rPr>
          <w:b/>
        </w:rPr>
        <w:t>15</w:t>
      </w:r>
      <w:r w:rsidR="00BC2E4C" w:rsidRPr="00101940">
        <w:rPr>
          <w:b/>
        </w:rPr>
        <w:t xml:space="preserve">. </w:t>
      </w:r>
      <w:r w:rsidR="006A0E19" w:rsidRPr="00101940">
        <w:rPr>
          <w:b/>
        </w:rPr>
        <w:t>Totale</w:t>
      </w:r>
      <w:r w:rsidR="00BC2E4C" w:rsidRPr="00101940">
        <w:rPr>
          <w:b/>
        </w:rPr>
        <w:t xml:space="preserve"> matrimoni con </w:t>
      </w:r>
      <w:r w:rsidR="002F21D9" w:rsidRPr="00101940">
        <w:rPr>
          <w:b/>
        </w:rPr>
        <w:t>“</w:t>
      </w:r>
      <w:r w:rsidR="006A0E19" w:rsidRPr="00101940">
        <w:rPr>
          <w:b/>
        </w:rPr>
        <w:t>n</w:t>
      </w:r>
      <w:r w:rsidR="0086380D" w:rsidRPr="00101940">
        <w:rPr>
          <w:b/>
        </w:rPr>
        <w:t>on battezzati</w:t>
      </w:r>
      <w:r w:rsidR="002F21D9" w:rsidRPr="00101940">
        <w:rPr>
          <w:b/>
        </w:rPr>
        <w:t>”</w:t>
      </w:r>
      <w:r w:rsidR="0086380D" w:rsidRPr="00101940">
        <w:rPr>
          <w:b/>
        </w:rPr>
        <w:t xml:space="preserve"> per nazione e </w:t>
      </w:r>
      <w:r w:rsidR="0003434B" w:rsidRPr="00101940">
        <w:rPr>
          <w:b/>
        </w:rPr>
        <w:t>genere</w:t>
      </w:r>
      <w:r w:rsidR="0086380D" w:rsidRPr="00101940">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9"/>
        <w:gridCol w:w="1341"/>
        <w:gridCol w:w="1340"/>
        <w:gridCol w:w="1340"/>
        <w:gridCol w:w="1340"/>
        <w:gridCol w:w="1344"/>
        <w:gridCol w:w="1334"/>
      </w:tblGrid>
      <w:tr w:rsidR="00E119A4" w:rsidRPr="00E119A4" w:rsidTr="00E119A4">
        <w:trPr>
          <w:cantSplit/>
          <w:trHeight w:val="300"/>
        </w:trPr>
        <w:tc>
          <w:tcPr>
            <w:tcW w:w="812" w:type="pct"/>
            <w:shd w:val="clear" w:color="auto" w:fill="auto"/>
            <w:noWrap/>
            <w:vAlign w:val="center"/>
            <w:hideMark/>
          </w:tcPr>
          <w:p w:rsidR="00E119A4" w:rsidRPr="00E119A4" w:rsidRDefault="00E119A4" w:rsidP="00E119A4">
            <w:pPr>
              <w:spacing w:line="240" w:lineRule="auto"/>
              <w:rPr>
                <w:rFonts w:eastAsia="Times New Roman"/>
                <w:color w:val="000000"/>
                <w:lang w:eastAsia="ja-JP"/>
              </w:rPr>
            </w:pPr>
          </w:p>
        </w:tc>
        <w:tc>
          <w:tcPr>
            <w:tcW w:w="1397" w:type="pct"/>
            <w:gridSpan w:val="2"/>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Donne</w:t>
            </w:r>
          </w:p>
        </w:tc>
        <w:tc>
          <w:tcPr>
            <w:tcW w:w="1396" w:type="pct"/>
            <w:gridSpan w:val="2"/>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Uomini</w:t>
            </w:r>
          </w:p>
        </w:tc>
        <w:tc>
          <w:tcPr>
            <w:tcW w:w="1396" w:type="pct"/>
            <w:gridSpan w:val="2"/>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TOT</w:t>
            </w:r>
          </w:p>
        </w:tc>
      </w:tr>
      <w:tr w:rsidR="00E119A4" w:rsidRPr="00E119A4" w:rsidTr="00E119A4">
        <w:trPr>
          <w:cantSplit/>
          <w:trHeight w:val="300"/>
        </w:trPr>
        <w:tc>
          <w:tcPr>
            <w:tcW w:w="812" w:type="pct"/>
            <w:shd w:val="clear" w:color="auto" w:fill="auto"/>
            <w:noWrap/>
            <w:vAlign w:val="center"/>
            <w:hideMark/>
          </w:tcPr>
          <w:p w:rsidR="00E119A4" w:rsidRPr="00E119A4" w:rsidRDefault="00E119A4" w:rsidP="00E119A4">
            <w:pPr>
              <w:spacing w:line="240" w:lineRule="auto"/>
              <w:rPr>
                <w:rFonts w:eastAsia="Times New Roman"/>
                <w:b/>
                <w:bCs/>
                <w:color w:val="000000"/>
                <w:lang w:eastAsia="ja-JP"/>
              </w:rPr>
            </w:pPr>
            <w:r w:rsidRPr="00E119A4">
              <w:rPr>
                <w:rFonts w:eastAsia="Times New Roman"/>
                <w:b/>
                <w:bCs/>
                <w:color w:val="000000"/>
                <w:lang w:eastAsia="ja-JP"/>
              </w:rPr>
              <w:t>nazione</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V.A.</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V.A.</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V.A.</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Italia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353</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34.88%</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710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53.67%</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1063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45.52%</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Regno Unito</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4.64%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8.01%</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153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6.55%</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Albania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80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7.91%</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71</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5.37%</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151</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6.47%</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Usa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4.64%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4.84%</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111</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4.75%</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N.D.</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48</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63</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4.76%</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111</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4.75%</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Germania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38</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3.75%</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45</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3.40%</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83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3.55%</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Francia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2.96%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43</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3.25%</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3.13%</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Olanda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3.16%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31</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2.34%</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2.70%</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Giappone</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4.84%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0.76%</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59</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2.53%</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Cuba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3.16%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1.21%</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48</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2.06%</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Cina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2.57%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0.91%</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38</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1.63%</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Australia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1.38%</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15</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1.13%</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29</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1.24%</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Nigeria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2.37%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0.30%</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28</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1.20%</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Russia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21</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2.08%</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0.15%</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0.99%</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Repubblica Ceca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2.17%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0.08%</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23</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0.99%</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Brasile</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12</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5</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0.38%</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17</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0.73%</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Canada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0.99%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0.45%</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16</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0.69%</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Argentina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6</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0.59%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0.68%</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15</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0.64%</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Svezia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4</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0.40%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0.53%</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0.47%</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Romania</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0.69%</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3</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0.23%</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0.43%</w:t>
            </w:r>
          </w:p>
        </w:tc>
      </w:tr>
      <w:tr w:rsidR="00E119A4" w:rsidRPr="00E119A4" w:rsidTr="00E119A4">
        <w:trPr>
          <w:cantSplit/>
          <w:trHeight w:val="300"/>
        </w:trPr>
        <w:tc>
          <w:tcPr>
            <w:tcW w:w="812" w:type="pct"/>
            <w:shd w:val="clear" w:color="auto" w:fill="auto"/>
            <w:noWrap/>
            <w:vAlign w:val="bottom"/>
            <w:hideMark/>
          </w:tcPr>
          <w:p w:rsidR="00E119A4" w:rsidRPr="00E119A4" w:rsidRDefault="00E119A4" w:rsidP="00E119A4">
            <w:pPr>
              <w:spacing w:line="240" w:lineRule="auto"/>
              <w:rPr>
                <w:rFonts w:eastAsia="Times New Roman"/>
                <w:color w:val="000000"/>
                <w:lang w:eastAsia="ja-JP"/>
              </w:rPr>
            </w:pPr>
            <w:r w:rsidRPr="00E119A4">
              <w:rPr>
                <w:rFonts w:eastAsia="Times New Roman"/>
                <w:color w:val="000000"/>
                <w:lang w:eastAsia="ja-JP"/>
              </w:rPr>
              <w:t>Altre Nazioni</w:t>
            </w:r>
          </w:p>
        </w:tc>
        <w:tc>
          <w:tcPr>
            <w:tcW w:w="699"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110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10.87%</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100</w:t>
            </w:r>
          </w:p>
        </w:tc>
        <w:tc>
          <w:tcPr>
            <w:tcW w:w="698"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7.56%</w:t>
            </w:r>
          </w:p>
        </w:tc>
        <w:tc>
          <w:tcPr>
            <w:tcW w:w="700"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210</w:t>
            </w:r>
          </w:p>
        </w:tc>
        <w:tc>
          <w:tcPr>
            <w:tcW w:w="696" w:type="pct"/>
            <w:shd w:val="clear" w:color="auto" w:fill="auto"/>
            <w:noWrap/>
            <w:vAlign w:val="center"/>
            <w:hideMark/>
          </w:tcPr>
          <w:p w:rsidR="00E119A4" w:rsidRPr="00E119A4" w:rsidRDefault="00E119A4" w:rsidP="00E119A4">
            <w:pPr>
              <w:spacing w:line="240" w:lineRule="auto"/>
              <w:jc w:val="center"/>
              <w:rPr>
                <w:rFonts w:eastAsia="Times New Roman"/>
                <w:color w:val="000000"/>
                <w:lang w:eastAsia="ja-JP"/>
              </w:rPr>
            </w:pPr>
            <w:r w:rsidRPr="00E119A4">
              <w:rPr>
                <w:rFonts w:eastAsia="Times New Roman"/>
                <w:color w:val="000000"/>
                <w:lang w:eastAsia="ja-JP"/>
              </w:rPr>
              <w:t>8.99%</w:t>
            </w:r>
          </w:p>
        </w:tc>
      </w:tr>
      <w:tr w:rsidR="00E119A4" w:rsidRPr="00213609" w:rsidTr="00E119A4">
        <w:trPr>
          <w:cantSplit/>
          <w:trHeight w:val="300"/>
        </w:trPr>
        <w:tc>
          <w:tcPr>
            <w:tcW w:w="812" w:type="pct"/>
            <w:shd w:val="clear" w:color="auto" w:fill="auto"/>
            <w:noWrap/>
            <w:vAlign w:val="bottom"/>
            <w:hideMark/>
          </w:tcPr>
          <w:p w:rsidR="00E119A4" w:rsidRPr="00213609" w:rsidRDefault="00E119A4" w:rsidP="00E119A4">
            <w:pPr>
              <w:spacing w:line="240" w:lineRule="auto"/>
              <w:rPr>
                <w:rFonts w:eastAsia="Times New Roman"/>
                <w:b/>
                <w:color w:val="000000"/>
                <w:lang w:eastAsia="ja-JP"/>
              </w:rPr>
            </w:pPr>
            <w:r w:rsidRPr="00213609">
              <w:rPr>
                <w:rFonts w:eastAsia="Times New Roman"/>
                <w:b/>
                <w:color w:val="000000"/>
                <w:lang w:eastAsia="ja-JP"/>
              </w:rPr>
              <w:t>TOT</w:t>
            </w:r>
          </w:p>
        </w:tc>
        <w:tc>
          <w:tcPr>
            <w:tcW w:w="699"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1012</w:t>
            </w:r>
          </w:p>
        </w:tc>
        <w:tc>
          <w:tcPr>
            <w:tcW w:w="698"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100%</w:t>
            </w:r>
          </w:p>
        </w:tc>
        <w:tc>
          <w:tcPr>
            <w:tcW w:w="698"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1323</w:t>
            </w:r>
          </w:p>
        </w:tc>
        <w:tc>
          <w:tcPr>
            <w:tcW w:w="698"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100%</w:t>
            </w:r>
          </w:p>
        </w:tc>
        <w:tc>
          <w:tcPr>
            <w:tcW w:w="700"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2335</w:t>
            </w:r>
          </w:p>
        </w:tc>
        <w:tc>
          <w:tcPr>
            <w:tcW w:w="696" w:type="pct"/>
            <w:shd w:val="clear" w:color="auto" w:fill="auto"/>
            <w:noWrap/>
            <w:vAlign w:val="center"/>
            <w:hideMark/>
          </w:tcPr>
          <w:p w:rsidR="00E119A4" w:rsidRPr="00213609" w:rsidRDefault="00E119A4" w:rsidP="00E119A4">
            <w:pPr>
              <w:spacing w:line="240" w:lineRule="auto"/>
              <w:jc w:val="center"/>
              <w:rPr>
                <w:rFonts w:eastAsia="Times New Roman"/>
                <w:b/>
                <w:color w:val="000000"/>
                <w:lang w:eastAsia="ja-JP"/>
              </w:rPr>
            </w:pPr>
            <w:r w:rsidRPr="00213609">
              <w:rPr>
                <w:rFonts w:eastAsia="Times New Roman"/>
                <w:b/>
                <w:color w:val="000000"/>
                <w:lang w:eastAsia="ja-JP"/>
              </w:rPr>
              <w:t>100%</w:t>
            </w:r>
          </w:p>
        </w:tc>
      </w:tr>
    </w:tbl>
    <w:p w:rsidR="0090742C" w:rsidRPr="00213609" w:rsidRDefault="0090742C" w:rsidP="00A870A0">
      <w:pPr>
        <w:rPr>
          <w:b/>
          <w:sz w:val="28"/>
          <w:szCs w:val="28"/>
        </w:rPr>
      </w:pPr>
    </w:p>
    <w:p w:rsidR="00B27C70" w:rsidRDefault="007B6660" w:rsidP="007B6660">
      <w:r w:rsidRPr="006C5AE2">
        <w:t>An</w:t>
      </w:r>
      <w:r w:rsidR="00B27C70" w:rsidRPr="006C5AE2">
        <w:t xml:space="preserve">che i matrimoni con coloro che hanno fatto un “abbandono formale della fede”, l’81% è costituito da italiani, e tra questi prevalgono i matrimoni di donne cattoliche con uomini (377) rispetto ai matrimoni </w:t>
      </w:r>
      <w:r w:rsidR="006C5AE2" w:rsidRPr="006C5AE2">
        <w:t xml:space="preserve">di </w:t>
      </w:r>
      <w:r w:rsidR="00B27C70" w:rsidRPr="006C5AE2">
        <w:t xml:space="preserve">uomini cattolici che hanno sposato </w:t>
      </w:r>
      <w:r w:rsidR="006C5AE2" w:rsidRPr="006C5AE2">
        <w:t>donne</w:t>
      </w:r>
      <w:r w:rsidR="00B27C70" w:rsidRPr="006C5AE2">
        <w:t xml:space="preserve"> (145).</w:t>
      </w:r>
      <w:r w:rsidR="00B27C70">
        <w:t xml:space="preserve"> Il 10% è costituito da matrimoni con spose/i provenienti dalla Germania. </w:t>
      </w:r>
    </w:p>
    <w:p w:rsidR="00B27C70" w:rsidRDefault="00B27C70" w:rsidP="007B6660">
      <w:r>
        <w:t>Ancora di più sono</w:t>
      </w:r>
      <w:r w:rsidR="00324D71">
        <w:t xml:space="preserve"> gli italiani (98%) tra </w:t>
      </w:r>
      <w:r>
        <w:t>coloro che hanno fatto un “abbandono notorio della fede”</w:t>
      </w:r>
      <w:r w:rsidR="00324D71">
        <w:t xml:space="preserve">, pur essendo leggermente inferiori nei valori assoluti  (575 rispetto ai 644 dei precedenti). </w:t>
      </w:r>
    </w:p>
    <w:p w:rsidR="00301B6D" w:rsidRPr="00E87985" w:rsidRDefault="00301B6D" w:rsidP="007B6660">
      <w:pPr>
        <w:rPr>
          <w:highlight w:val="yellow"/>
        </w:rPr>
      </w:pPr>
    </w:p>
    <w:p w:rsidR="00FA2035" w:rsidRPr="008935C5" w:rsidRDefault="00FA2035" w:rsidP="00FA2035">
      <w:pPr>
        <w:rPr>
          <w:b/>
          <w:lang w:eastAsia="it-IT"/>
        </w:rPr>
      </w:pPr>
      <w:r w:rsidRPr="008935C5">
        <w:rPr>
          <w:b/>
          <w:lang w:eastAsia="it-IT"/>
        </w:rPr>
        <w:t>Tab. n. 16</w:t>
      </w:r>
      <w:r w:rsidR="00BC2E4C" w:rsidRPr="008935C5">
        <w:rPr>
          <w:b/>
          <w:lang w:eastAsia="it-IT"/>
        </w:rPr>
        <w:t xml:space="preserve">. Totale </w:t>
      </w:r>
      <w:r w:rsidR="00D96ACA" w:rsidRPr="008935C5">
        <w:rPr>
          <w:b/>
          <w:lang w:eastAsia="it-IT"/>
        </w:rPr>
        <w:t>matrimoni con “Abbandono notorio</w:t>
      </w:r>
      <w:r w:rsidR="00BC2E4C" w:rsidRPr="008935C5">
        <w:rPr>
          <w:b/>
          <w:lang w:eastAsia="it-IT"/>
        </w:rPr>
        <w:t xml:space="preserve"> della fede” </w:t>
      </w:r>
      <w:r w:rsidR="00301B6D" w:rsidRPr="008935C5">
        <w:rPr>
          <w:b/>
          <w:lang w:eastAsia="it-IT"/>
        </w:rPr>
        <w:t xml:space="preserve">per </w:t>
      </w:r>
      <w:r w:rsidR="00BC2E4C" w:rsidRPr="008935C5">
        <w:rPr>
          <w:b/>
          <w:lang w:eastAsia="it-IT"/>
        </w:rPr>
        <w:t>nazione</w:t>
      </w:r>
      <w:r w:rsidR="00301B6D" w:rsidRPr="008935C5">
        <w:rPr>
          <w:b/>
          <w:lang w:eastAsia="it-IT"/>
        </w:rPr>
        <w:t xml:space="preserve"> e genere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2"/>
        <w:gridCol w:w="982"/>
        <w:gridCol w:w="1733"/>
        <w:gridCol w:w="956"/>
        <w:gridCol w:w="1733"/>
        <w:gridCol w:w="956"/>
        <w:gridCol w:w="1756"/>
      </w:tblGrid>
      <w:tr w:rsidR="00D96ACA" w:rsidRPr="00D96ACA" w:rsidTr="00D96ACA">
        <w:trPr>
          <w:cantSplit/>
          <w:trHeight w:val="20"/>
        </w:trPr>
        <w:tc>
          <w:tcPr>
            <w:tcW w:w="850" w:type="pct"/>
            <w:shd w:val="clear" w:color="auto" w:fill="auto"/>
            <w:noWrap/>
            <w:vAlign w:val="center"/>
            <w:hideMark/>
          </w:tcPr>
          <w:p w:rsidR="00D96ACA" w:rsidRPr="00D96ACA" w:rsidRDefault="00D96ACA" w:rsidP="00D96ACA">
            <w:pPr>
              <w:spacing w:line="240" w:lineRule="auto"/>
              <w:jc w:val="left"/>
              <w:rPr>
                <w:rFonts w:eastAsia="Times New Roman"/>
                <w:color w:val="000000"/>
                <w:sz w:val="22"/>
                <w:lang w:eastAsia="ja-JP"/>
              </w:rPr>
            </w:pPr>
          </w:p>
        </w:tc>
        <w:tc>
          <w:tcPr>
            <w:tcW w:w="4150" w:type="pct"/>
            <w:gridSpan w:val="6"/>
            <w:shd w:val="clear" w:color="auto" w:fill="auto"/>
            <w:noWrap/>
            <w:vAlign w:val="center"/>
            <w:hideMark/>
          </w:tcPr>
          <w:p w:rsidR="00D96ACA" w:rsidRPr="00D96ACA" w:rsidRDefault="00D96ACA" w:rsidP="00D96ACA">
            <w:pPr>
              <w:spacing w:line="240" w:lineRule="auto"/>
              <w:jc w:val="center"/>
              <w:rPr>
                <w:rFonts w:eastAsia="Times New Roman"/>
                <w:b/>
                <w:bCs/>
                <w:color w:val="000000"/>
                <w:sz w:val="22"/>
                <w:lang w:eastAsia="ja-JP"/>
              </w:rPr>
            </w:pPr>
            <w:r w:rsidRPr="00D96ACA">
              <w:rPr>
                <w:rFonts w:eastAsia="Times New Roman"/>
                <w:b/>
                <w:bCs/>
                <w:color w:val="000000"/>
                <w:sz w:val="22"/>
                <w:lang w:eastAsia="ja-JP"/>
              </w:rPr>
              <w:t>TOT Complessivo</w:t>
            </w:r>
          </w:p>
        </w:tc>
      </w:tr>
      <w:tr w:rsidR="00D96ACA" w:rsidRPr="00D96ACA" w:rsidTr="00D96ACA">
        <w:trPr>
          <w:cantSplit/>
          <w:trHeight w:val="20"/>
        </w:trPr>
        <w:tc>
          <w:tcPr>
            <w:tcW w:w="850" w:type="pct"/>
            <w:shd w:val="clear" w:color="auto" w:fill="auto"/>
            <w:noWrap/>
            <w:vAlign w:val="center"/>
            <w:hideMark/>
          </w:tcPr>
          <w:p w:rsidR="00D96ACA" w:rsidRPr="00D96ACA" w:rsidRDefault="00D96ACA" w:rsidP="00D96ACA">
            <w:pPr>
              <w:spacing w:line="240" w:lineRule="auto"/>
              <w:jc w:val="left"/>
              <w:rPr>
                <w:rFonts w:eastAsia="Times New Roman"/>
                <w:color w:val="000000"/>
                <w:sz w:val="22"/>
                <w:lang w:eastAsia="ja-JP"/>
              </w:rPr>
            </w:pPr>
          </w:p>
        </w:tc>
        <w:tc>
          <w:tcPr>
            <w:tcW w:w="1388" w:type="pct"/>
            <w:gridSpan w:val="2"/>
            <w:shd w:val="clear" w:color="auto" w:fill="auto"/>
            <w:noWrap/>
            <w:vAlign w:val="center"/>
            <w:hideMark/>
          </w:tcPr>
          <w:p w:rsidR="00D96ACA" w:rsidRPr="00D96ACA" w:rsidRDefault="00D96ACA" w:rsidP="00D96ACA">
            <w:pPr>
              <w:spacing w:line="240" w:lineRule="auto"/>
              <w:jc w:val="center"/>
              <w:rPr>
                <w:rFonts w:eastAsia="Times New Roman"/>
                <w:b/>
                <w:bCs/>
                <w:color w:val="000000"/>
                <w:sz w:val="22"/>
                <w:lang w:eastAsia="ja-JP"/>
              </w:rPr>
            </w:pPr>
            <w:r w:rsidRPr="00D96ACA">
              <w:rPr>
                <w:rFonts w:eastAsia="Times New Roman"/>
                <w:b/>
                <w:bCs/>
                <w:color w:val="000000"/>
                <w:sz w:val="22"/>
                <w:lang w:eastAsia="ja-JP"/>
              </w:rPr>
              <w:t>F</w:t>
            </w:r>
          </w:p>
        </w:tc>
        <w:tc>
          <w:tcPr>
            <w:tcW w:w="1375" w:type="pct"/>
            <w:gridSpan w:val="2"/>
            <w:shd w:val="clear" w:color="auto" w:fill="auto"/>
            <w:noWrap/>
            <w:vAlign w:val="center"/>
            <w:hideMark/>
          </w:tcPr>
          <w:p w:rsidR="00D96ACA" w:rsidRPr="00D96ACA" w:rsidRDefault="00D96ACA" w:rsidP="00D96ACA">
            <w:pPr>
              <w:spacing w:line="240" w:lineRule="auto"/>
              <w:jc w:val="center"/>
              <w:rPr>
                <w:rFonts w:eastAsia="Times New Roman"/>
                <w:b/>
                <w:bCs/>
                <w:color w:val="000000"/>
                <w:sz w:val="22"/>
                <w:lang w:eastAsia="ja-JP"/>
              </w:rPr>
            </w:pPr>
            <w:r w:rsidRPr="00D96ACA">
              <w:rPr>
                <w:rFonts w:eastAsia="Times New Roman"/>
                <w:b/>
                <w:bCs/>
                <w:color w:val="000000"/>
                <w:sz w:val="22"/>
                <w:lang w:eastAsia="ja-JP"/>
              </w:rPr>
              <w:t>M</w:t>
            </w:r>
          </w:p>
        </w:tc>
        <w:tc>
          <w:tcPr>
            <w:tcW w:w="1387" w:type="pct"/>
            <w:gridSpan w:val="2"/>
            <w:shd w:val="clear" w:color="auto" w:fill="auto"/>
            <w:noWrap/>
            <w:vAlign w:val="center"/>
            <w:hideMark/>
          </w:tcPr>
          <w:p w:rsidR="00D96ACA" w:rsidRPr="00D96ACA" w:rsidRDefault="00D96ACA" w:rsidP="00D96ACA">
            <w:pPr>
              <w:spacing w:line="240" w:lineRule="auto"/>
              <w:jc w:val="center"/>
              <w:rPr>
                <w:rFonts w:eastAsia="Times New Roman"/>
                <w:b/>
                <w:bCs/>
                <w:color w:val="000000"/>
                <w:sz w:val="22"/>
                <w:lang w:eastAsia="ja-JP"/>
              </w:rPr>
            </w:pPr>
            <w:r w:rsidRPr="00D96ACA">
              <w:rPr>
                <w:rFonts w:eastAsia="Times New Roman"/>
                <w:b/>
                <w:bCs/>
                <w:color w:val="000000"/>
                <w:sz w:val="22"/>
                <w:lang w:eastAsia="ja-JP"/>
              </w:rPr>
              <w:t>TOT</w:t>
            </w:r>
          </w:p>
        </w:tc>
      </w:tr>
      <w:tr w:rsidR="00D96ACA" w:rsidRPr="00D96ACA" w:rsidTr="00D96ACA">
        <w:trPr>
          <w:cantSplit/>
          <w:trHeight w:val="20"/>
        </w:trPr>
        <w:tc>
          <w:tcPr>
            <w:tcW w:w="850" w:type="pct"/>
            <w:shd w:val="clear" w:color="auto" w:fill="auto"/>
            <w:noWrap/>
            <w:vAlign w:val="center"/>
            <w:hideMark/>
          </w:tcPr>
          <w:p w:rsidR="00D96ACA" w:rsidRPr="00D96ACA" w:rsidRDefault="00D96ACA" w:rsidP="00D96ACA">
            <w:pPr>
              <w:spacing w:line="240" w:lineRule="auto"/>
              <w:jc w:val="left"/>
              <w:rPr>
                <w:rFonts w:eastAsia="Times New Roman"/>
                <w:b/>
                <w:bCs/>
                <w:color w:val="000000"/>
                <w:sz w:val="22"/>
                <w:lang w:eastAsia="ja-JP"/>
              </w:rPr>
            </w:pPr>
            <w:r w:rsidRPr="00D96ACA">
              <w:rPr>
                <w:rFonts w:eastAsia="Times New Roman"/>
                <w:b/>
                <w:bCs/>
                <w:color w:val="000000"/>
                <w:sz w:val="22"/>
                <w:lang w:eastAsia="ja-JP"/>
              </w:rPr>
              <w:t>nazione</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V.A.</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V.A.</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V.A.</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Italia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94</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96.91%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468</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97.91%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562</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97.74%</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Francia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3</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0.63%</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3</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0.52%</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Germania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1.03%</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0.21%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2</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0.35%</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lastRenderedPageBreak/>
              <w:t>Usa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2</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0.42%</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2</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0.35%</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Slovenia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1.03%</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Regno Unito</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0.21%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Spagna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0.21%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Polonia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1.03%</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Argentina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0.21%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bottom"/>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Olanda</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0.21%</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0.17%</w:t>
            </w:r>
          </w:p>
        </w:tc>
      </w:tr>
      <w:tr w:rsidR="00D96ACA" w:rsidRPr="00D96ACA" w:rsidTr="00D96ACA">
        <w:trPr>
          <w:cantSplit/>
          <w:trHeight w:val="20"/>
        </w:trPr>
        <w:tc>
          <w:tcPr>
            <w:tcW w:w="850" w:type="pct"/>
            <w:shd w:val="clear" w:color="auto" w:fill="auto"/>
            <w:noWrap/>
            <w:vAlign w:val="center"/>
            <w:hideMark/>
          </w:tcPr>
          <w:p w:rsidR="00D96ACA" w:rsidRPr="00D96ACA" w:rsidRDefault="00D96ACA" w:rsidP="00D96ACA">
            <w:pPr>
              <w:spacing w:line="240" w:lineRule="auto"/>
              <w:jc w:val="left"/>
              <w:rPr>
                <w:rFonts w:eastAsia="Times New Roman"/>
                <w:color w:val="000000"/>
                <w:sz w:val="22"/>
                <w:lang w:eastAsia="ja-JP"/>
              </w:rPr>
            </w:pPr>
            <w:r w:rsidRPr="00D96ACA">
              <w:rPr>
                <w:rFonts w:eastAsia="Times New Roman"/>
                <w:color w:val="000000"/>
                <w:sz w:val="22"/>
                <w:lang w:eastAsia="ja-JP"/>
              </w:rPr>
              <w:t>TOT</w:t>
            </w:r>
          </w:p>
        </w:tc>
        <w:tc>
          <w:tcPr>
            <w:tcW w:w="502"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97</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478</w:t>
            </w:r>
          </w:p>
        </w:tc>
        <w:tc>
          <w:tcPr>
            <w:tcW w:w="886"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100%</w:t>
            </w:r>
          </w:p>
        </w:tc>
        <w:tc>
          <w:tcPr>
            <w:tcW w:w="489"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575</w:t>
            </w:r>
          </w:p>
        </w:tc>
        <w:tc>
          <w:tcPr>
            <w:tcW w:w="898" w:type="pct"/>
            <w:shd w:val="clear" w:color="auto" w:fill="auto"/>
            <w:noWrap/>
            <w:vAlign w:val="center"/>
            <w:hideMark/>
          </w:tcPr>
          <w:p w:rsidR="00D96ACA" w:rsidRPr="00D96ACA" w:rsidRDefault="00D96ACA" w:rsidP="00D96ACA">
            <w:pPr>
              <w:spacing w:line="240" w:lineRule="auto"/>
              <w:jc w:val="center"/>
              <w:rPr>
                <w:rFonts w:eastAsia="Times New Roman"/>
                <w:color w:val="000000"/>
                <w:sz w:val="22"/>
                <w:lang w:eastAsia="ja-JP"/>
              </w:rPr>
            </w:pPr>
            <w:r w:rsidRPr="00D96ACA">
              <w:rPr>
                <w:rFonts w:eastAsia="Times New Roman"/>
                <w:color w:val="000000"/>
                <w:sz w:val="22"/>
                <w:lang w:eastAsia="ja-JP"/>
              </w:rPr>
              <w:t>100%</w:t>
            </w:r>
          </w:p>
        </w:tc>
      </w:tr>
    </w:tbl>
    <w:p w:rsidR="00D96ACA" w:rsidRDefault="00D96ACA" w:rsidP="00A870A0"/>
    <w:p w:rsidR="00636255" w:rsidRDefault="006A6EAB" w:rsidP="00A870A0">
      <w:pPr>
        <w:rPr>
          <w:sz w:val="28"/>
          <w:szCs w:val="28"/>
        </w:rPr>
      </w:pPr>
      <w:r>
        <w:t>In sintesi, d</w:t>
      </w:r>
      <w:r w:rsidR="00A870A0" w:rsidRPr="00A870A0">
        <w:t xml:space="preserve">al punto di vista interno </w:t>
      </w:r>
      <w:r w:rsidR="008717A0">
        <w:t xml:space="preserve">alla Chiesa cattolica, </w:t>
      </w:r>
      <w:r w:rsidR="00A870A0" w:rsidRPr="00A870A0">
        <w:t>questo è un insieme che presenta maggiori criticità rispetto alle altre due macroaree</w:t>
      </w:r>
      <w:r w:rsidR="000A57DF">
        <w:t xml:space="preserve"> (interconfes</w:t>
      </w:r>
      <w:r w:rsidR="00F744E8">
        <w:t>s</w:t>
      </w:r>
      <w:r w:rsidR="000A57DF">
        <w:t>ionali e interreligiosi)</w:t>
      </w:r>
      <w:r w:rsidR="00A870A0" w:rsidRPr="00A870A0">
        <w:t xml:space="preserve">. </w:t>
      </w:r>
      <w:r w:rsidR="00A870A0">
        <w:t xml:space="preserve">I dati non possono dirci molto sulla qualità </w:t>
      </w:r>
      <w:r w:rsidR="00994FE7">
        <w:t xml:space="preserve">della fede </w:t>
      </w:r>
      <w:r w:rsidR="00A870A0">
        <w:t xml:space="preserve">o sul </w:t>
      </w:r>
      <w:r w:rsidR="00994FE7">
        <w:t>“</w:t>
      </w:r>
      <w:r w:rsidR="00A870A0">
        <w:t>patto</w:t>
      </w:r>
      <w:r w:rsidR="00994FE7">
        <w:t>”</w:t>
      </w:r>
      <w:r w:rsidR="00CB1E2F">
        <w:t xml:space="preserve"> e sul “dialogo”</w:t>
      </w:r>
      <w:r w:rsidR="00A870A0">
        <w:t xml:space="preserve"> tra </w:t>
      </w:r>
      <w:r w:rsidR="00B96151">
        <w:t>gli</w:t>
      </w:r>
      <w:r w:rsidR="00A870A0">
        <w:t xml:space="preserve"> </w:t>
      </w:r>
      <w:r w:rsidR="00CB1E2F">
        <w:t xml:space="preserve">sposi; sembra che </w:t>
      </w:r>
      <w:r w:rsidR="00A870A0">
        <w:t xml:space="preserve">in uno dei due </w:t>
      </w:r>
      <w:r w:rsidR="008717A0">
        <w:t xml:space="preserve">sposi </w:t>
      </w:r>
      <w:r w:rsidR="00CB1E2F">
        <w:t xml:space="preserve">sia </w:t>
      </w:r>
      <w:r w:rsidR="00A870A0">
        <w:t>assente il discorso religioso</w:t>
      </w:r>
      <w:r w:rsidR="00CB1E2F">
        <w:t xml:space="preserve"> ma non sappiamo nulla sulla problematicità e dinamica di questa relazione</w:t>
      </w:r>
      <w:r w:rsidR="00A870A0">
        <w:t>.</w:t>
      </w:r>
      <w:r w:rsidR="006D4D36">
        <w:t xml:space="preserve"> </w:t>
      </w:r>
    </w:p>
    <w:p w:rsidR="001F550D" w:rsidRDefault="001F550D" w:rsidP="00660B3B">
      <w:pPr>
        <w:spacing w:line="240" w:lineRule="auto"/>
        <w:jc w:val="center"/>
        <w:rPr>
          <w:sz w:val="28"/>
          <w:szCs w:val="28"/>
        </w:rPr>
      </w:pPr>
    </w:p>
    <w:p w:rsidR="00634D25" w:rsidRDefault="00634D25" w:rsidP="003B7F13">
      <w:pPr>
        <w:pStyle w:val="Titolo1"/>
        <w:numPr>
          <w:ilvl w:val="0"/>
          <w:numId w:val="22"/>
        </w:numPr>
      </w:pPr>
      <w:r w:rsidRPr="00FA2035">
        <w:t>Matrimoni in cui la parte cattolica non  è di nazionalità italiana</w:t>
      </w:r>
    </w:p>
    <w:p w:rsidR="00F96A44" w:rsidRPr="00F96A44" w:rsidRDefault="00F96A44" w:rsidP="00F96A44"/>
    <w:p w:rsidR="00746064" w:rsidRDefault="00634D25" w:rsidP="008A5A7F">
      <w:r>
        <w:t>Dalla rilevazione si evidenzia che sono 906 i casi in cui la parte cattolica non è italiana</w:t>
      </w:r>
      <w:r w:rsidR="006D5489">
        <w:rPr>
          <w:rStyle w:val="Rimandonotaapidipagina"/>
          <w:sz w:val="28"/>
          <w:szCs w:val="28"/>
        </w:rPr>
        <w:footnoteReference w:id="11"/>
      </w:r>
      <w:r>
        <w:t xml:space="preserve">. Le nazionalità di provenienza sono le più diverse e la situazione è abbastanza frammentata. </w:t>
      </w:r>
      <w:r w:rsidR="00B96151">
        <w:t>Puntando l’attenzione s</w:t>
      </w:r>
      <w:r>
        <w:t xml:space="preserve">olo </w:t>
      </w:r>
      <w:r w:rsidR="00B96151">
        <w:t>al</w:t>
      </w:r>
      <w:r>
        <w:t>le prime 1</w:t>
      </w:r>
      <w:r w:rsidR="006D5489">
        <w:t>5</w:t>
      </w:r>
      <w:r>
        <w:t xml:space="preserve"> nazionalità che registrano un raggruppamento significativo si segnalano in modo particolare i cittadini provenienti da Stati Uniti con il 16,%, Regno Unito e Germania con il 9% ciascuno, Francia con l’8% e Irlanda con il 7%. Di questi il 56% sono donne e il 44% uomini.</w:t>
      </w:r>
    </w:p>
    <w:p w:rsidR="00724B3C" w:rsidRDefault="00724B3C" w:rsidP="008A5A7F">
      <w:pPr>
        <w:rPr>
          <w:b/>
        </w:rPr>
      </w:pPr>
    </w:p>
    <w:p w:rsidR="00634D25" w:rsidRPr="00746064" w:rsidRDefault="00634D25" w:rsidP="008A5A7F">
      <w:pPr>
        <w:rPr>
          <w:b/>
        </w:rPr>
      </w:pPr>
      <w:proofErr w:type="spellStart"/>
      <w:r w:rsidRPr="00746064">
        <w:rPr>
          <w:b/>
        </w:rPr>
        <w:t>Tab</w:t>
      </w:r>
      <w:proofErr w:type="spellEnd"/>
      <w:r w:rsidRPr="00746064">
        <w:rPr>
          <w:b/>
        </w:rPr>
        <w:t>. n.</w:t>
      </w:r>
      <w:r w:rsidR="00891A7D">
        <w:rPr>
          <w:b/>
        </w:rPr>
        <w:t xml:space="preserve"> </w:t>
      </w:r>
      <w:r w:rsidR="00DE533C">
        <w:rPr>
          <w:b/>
        </w:rPr>
        <w:t xml:space="preserve">17. </w:t>
      </w:r>
      <w:r w:rsidRPr="00746064">
        <w:rPr>
          <w:b/>
        </w:rPr>
        <w:t xml:space="preserve">Totale dei matrimoni in cui la parte cattolica è di nazionalità non italiana  per </w:t>
      </w:r>
      <w:r w:rsidR="006D5489" w:rsidRPr="00746064">
        <w:rPr>
          <w:b/>
        </w:rPr>
        <w:t xml:space="preserve">nazione e </w:t>
      </w:r>
      <w:r w:rsidR="004418CE" w:rsidRPr="00746064">
        <w:rPr>
          <w:b/>
        </w:rPr>
        <w:t>genere</w:t>
      </w:r>
      <w:r w:rsidRPr="00746064">
        <w:rPr>
          <w:b/>
        </w:rPr>
        <w:t>. (primi 15)</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60"/>
        <w:gridCol w:w="904"/>
        <w:gridCol w:w="1438"/>
        <w:gridCol w:w="903"/>
        <w:gridCol w:w="1437"/>
        <w:gridCol w:w="903"/>
        <w:gridCol w:w="1433"/>
      </w:tblGrid>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rPr>
                <w:lang w:eastAsia="ja-JP"/>
              </w:rPr>
            </w:pPr>
          </w:p>
        </w:tc>
        <w:tc>
          <w:tcPr>
            <w:tcW w:w="70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b/>
                <w:bCs/>
                <w:color w:val="000000"/>
                <w:lang w:eastAsia="ja-JP"/>
              </w:rPr>
            </w:pPr>
            <w:r>
              <w:rPr>
                <w:rFonts w:eastAsia="Times New Roman"/>
                <w:b/>
                <w:bCs/>
                <w:color w:val="000000"/>
              </w:rPr>
              <w:t>TOT Complessivo</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rPr>
                <w:lang w:eastAsia="ja-JP"/>
              </w:rPr>
            </w:pPr>
          </w:p>
        </w:tc>
        <w:tc>
          <w:tcPr>
            <w:tcW w:w="23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b/>
                <w:bCs/>
                <w:color w:val="000000"/>
                <w:lang w:eastAsia="ja-JP"/>
              </w:rPr>
            </w:pPr>
            <w:r>
              <w:rPr>
                <w:rFonts w:eastAsia="Times New Roman"/>
                <w:b/>
                <w:bCs/>
                <w:color w:val="000000"/>
              </w:rPr>
              <w:t>F</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b/>
                <w:bCs/>
                <w:color w:val="000000"/>
                <w:lang w:eastAsia="ja-JP"/>
              </w:rPr>
            </w:pPr>
            <w:r>
              <w:rPr>
                <w:rFonts w:eastAsia="Times New Roman"/>
                <w:b/>
                <w:bCs/>
                <w:color w:val="000000"/>
              </w:rPr>
              <w:t>M</w:t>
            </w:r>
          </w:p>
        </w:tc>
        <w:tc>
          <w:tcPr>
            <w:tcW w:w="23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b/>
                <w:bCs/>
                <w:color w:val="000000"/>
                <w:lang w:eastAsia="ja-JP"/>
              </w:rPr>
            </w:pPr>
            <w:r>
              <w:rPr>
                <w:rFonts w:eastAsia="Times New Roman"/>
                <w:b/>
                <w:bCs/>
                <w:color w:val="000000"/>
              </w:rPr>
              <w:t>TOT</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D5489" w:rsidP="00BE78E8">
            <w:pPr>
              <w:spacing w:line="240" w:lineRule="auto"/>
              <w:rPr>
                <w:rFonts w:eastAsia="Times New Roman"/>
                <w:b/>
                <w:bCs/>
                <w:color w:val="000000"/>
                <w:lang w:eastAsia="ja-JP"/>
              </w:rPr>
            </w:pPr>
            <w:r>
              <w:rPr>
                <w:rFonts w:eastAsia="Times New Roman"/>
                <w:b/>
                <w:bCs/>
                <w:color w:val="000000"/>
              </w:rPr>
              <w:t>N</w:t>
            </w:r>
            <w:r w:rsidR="00634D25">
              <w:rPr>
                <w:rFonts w:eastAsia="Times New Roman"/>
                <w:b/>
                <w:bCs/>
                <w:color w:val="000000"/>
              </w:rPr>
              <w:t>azione</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V.A.</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V.A.</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V.A.</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USA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76</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15.38%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16.99%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146</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16.11%</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Regno Unito</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10.73%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44</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10.68%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97</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10.71%</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Germania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7.89%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47</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11.41%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86</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9.49%</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Francia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7.49%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37</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8.98%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74</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8.17%</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Irlanda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34</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6.88%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29</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7.04%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63</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6.95%</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lastRenderedPageBreak/>
              <w:t>Austria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5.67%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24</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5.83%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52</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5.74%</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Polonia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7.69%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9</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2.18%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47</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5.19%</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Romania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23</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4.66%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17</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4.13%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4.42%</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Svizzera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3.04%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17</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4.13%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32</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3.53%</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Albania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20</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4.05%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2.43%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30</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3.31%</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Canada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3.04%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12</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2.91%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27</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2.98%</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Australia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9</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1.82%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3.64%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24</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2.65%</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Olanda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8</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1.62%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10</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2.43%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18</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1.99%</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Belgio</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8</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1.94%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1.66%</w:t>
            </w:r>
          </w:p>
        </w:tc>
      </w:tr>
      <w:tr w:rsidR="00634D25" w:rsidTr="007349B1">
        <w:trPr>
          <w:cantSplit/>
          <w:trHeight w:val="20"/>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D25" w:rsidRDefault="00634D25" w:rsidP="00BE78E8">
            <w:pPr>
              <w:spacing w:line="240" w:lineRule="auto"/>
              <w:rPr>
                <w:rFonts w:eastAsia="Times New Roman"/>
                <w:color w:val="000000"/>
                <w:lang w:eastAsia="ja-JP"/>
              </w:rPr>
            </w:pPr>
            <w:r>
              <w:rPr>
                <w:rFonts w:eastAsia="Times New Roman"/>
                <w:color w:val="000000"/>
              </w:rPr>
              <w:t>Spagna</w:t>
            </w:r>
          </w:p>
        </w:tc>
        <w:tc>
          <w:tcPr>
            <w:tcW w:w="9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7</w:t>
            </w:r>
          </w:p>
        </w:tc>
        <w:tc>
          <w:tcPr>
            <w:tcW w:w="1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1.70%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14</w:t>
            </w:r>
          </w:p>
        </w:tc>
        <w:tc>
          <w:tcPr>
            <w:tcW w:w="14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4D25" w:rsidRDefault="00634D25" w:rsidP="00BE78E8">
            <w:pPr>
              <w:spacing w:line="240" w:lineRule="auto"/>
              <w:jc w:val="center"/>
              <w:rPr>
                <w:rFonts w:eastAsia="Times New Roman"/>
                <w:color w:val="000000"/>
                <w:lang w:eastAsia="ja-JP"/>
              </w:rPr>
            </w:pPr>
            <w:r>
              <w:rPr>
                <w:rFonts w:eastAsia="Times New Roman"/>
                <w:color w:val="000000"/>
              </w:rPr>
              <w:t>1.55%</w:t>
            </w:r>
          </w:p>
        </w:tc>
      </w:tr>
    </w:tbl>
    <w:p w:rsidR="00634D25" w:rsidRDefault="00634D25" w:rsidP="00634D25">
      <w:pPr>
        <w:rPr>
          <w:sz w:val="28"/>
          <w:szCs w:val="28"/>
        </w:rPr>
      </w:pPr>
    </w:p>
    <w:p w:rsidR="00634D25" w:rsidRDefault="00634D25" w:rsidP="00634D25">
      <w:r w:rsidRPr="003B7F13">
        <w:t>Le diocesi in cui si concentrano la maggior parte dei cattolici di nazionalità non italiana sono Venezia (43% -393), Frascati (21%- 193), Firenze (17%- 153), Lanciano-Ortona (3%- 28), Vicenza (2%- 18), Assisi, Nocera Umbra-Gualdo Tadino (2%- 17), Genova (2%- 15), Como (1%- 13)  Bologna (1%-13) e Porto- Santa Rufina (1%- 11)</w:t>
      </w:r>
      <w:r w:rsidR="00B96151">
        <w:t>.</w:t>
      </w:r>
      <w:r w:rsidRPr="003B7F13">
        <w:t xml:space="preserve"> È inte</w:t>
      </w:r>
      <w:r w:rsidR="00C914D4" w:rsidRPr="003B7F13">
        <w:t>ressante notare come la diocesi</w:t>
      </w:r>
      <w:r w:rsidRPr="003B7F13">
        <w:t xml:space="preserve"> </w:t>
      </w:r>
      <w:r w:rsidR="00C914D4" w:rsidRPr="003B7F13">
        <w:t>d</w:t>
      </w:r>
      <w:r w:rsidRPr="003B7F13">
        <w:t xml:space="preserve">i Porto-Santa Rufina sia presente anche in questa tipologia, probabilmente per la sua vicinanza a Roma risente delle sue problematiche quantitative e qualitative.  </w:t>
      </w:r>
    </w:p>
    <w:p w:rsidR="00634D25" w:rsidRDefault="00634D25" w:rsidP="003B7F13">
      <w:r>
        <w:t xml:space="preserve">Relativamente all’analisi del decennio in oggetto si nota come non si possa parlare di una crescita ma l’andamento sia altalenante con una concentrazione negli anni 2004-2006, dato di difficile interpretazione.  </w:t>
      </w:r>
    </w:p>
    <w:p w:rsidR="00301B6D" w:rsidRDefault="00301B6D" w:rsidP="003B7F13"/>
    <w:p w:rsidR="00312C61" w:rsidRPr="00AD38B4" w:rsidRDefault="00726888" w:rsidP="00A3189D">
      <w:pPr>
        <w:pStyle w:val="Titolo1"/>
        <w:numPr>
          <w:ilvl w:val="0"/>
          <w:numId w:val="22"/>
        </w:numPr>
      </w:pPr>
      <w:r w:rsidRPr="00AD38B4">
        <w:t xml:space="preserve">Itinerari </w:t>
      </w:r>
      <w:r w:rsidR="009B7D54">
        <w:t>e cur</w:t>
      </w:r>
      <w:r w:rsidR="00301B6D">
        <w:t>e</w:t>
      </w:r>
      <w:r w:rsidR="009B7D54">
        <w:t xml:space="preserve"> </w:t>
      </w:r>
      <w:r w:rsidR="00303390">
        <w:t xml:space="preserve">pastorali </w:t>
      </w:r>
      <w:r w:rsidRPr="00AD38B4">
        <w:t xml:space="preserve">delle diocesi </w:t>
      </w:r>
    </w:p>
    <w:p w:rsidR="00B96151" w:rsidRDefault="00726888" w:rsidP="00A3189D">
      <w:r>
        <w:t>Una parte del</w:t>
      </w:r>
      <w:r w:rsidR="00303390">
        <w:t xml:space="preserve"> questionario </w:t>
      </w:r>
      <w:r>
        <w:t>inviat</w:t>
      </w:r>
      <w:r w:rsidR="00303390">
        <w:t>o</w:t>
      </w:r>
      <w:r>
        <w:t xml:space="preserve"> alle diocesi era focalizzat</w:t>
      </w:r>
      <w:r w:rsidR="00303390">
        <w:t>o</w:t>
      </w:r>
      <w:r>
        <w:t xml:space="preserve"> su alcune domande </w:t>
      </w:r>
      <w:r w:rsidR="002C7402">
        <w:t xml:space="preserve">volte </w:t>
      </w:r>
      <w:r>
        <w:t>ad individuare le iniziative che le diocesi attivano sul piano pastorale per accompagnare gli sposi nel percorso spirituale prima del matrimonio e</w:t>
      </w:r>
      <w:r w:rsidR="00B96151">
        <w:t>/o</w:t>
      </w:r>
      <w:r>
        <w:t xml:space="preserve"> </w:t>
      </w:r>
      <w:r w:rsidR="0061091C">
        <w:t xml:space="preserve">per accompagnarli </w:t>
      </w:r>
      <w:r>
        <w:t>dopo il matrimonio. I dati raccolti evidenziano questa situazione</w:t>
      </w:r>
      <w:r w:rsidR="00B96151">
        <w:t>.</w:t>
      </w:r>
    </w:p>
    <w:p w:rsidR="00DE533C" w:rsidRDefault="00A3189D" w:rsidP="00A3189D">
      <w:pPr>
        <w:rPr>
          <w:lang w:eastAsia="it-IT"/>
        </w:rPr>
      </w:pPr>
      <w:r w:rsidRPr="00AA6B87">
        <w:rPr>
          <w:lang w:eastAsia="it-IT"/>
        </w:rPr>
        <w:t xml:space="preserve">Nel </w:t>
      </w:r>
      <w:r>
        <w:rPr>
          <w:lang w:eastAsia="it-IT"/>
        </w:rPr>
        <w:t>25</w:t>
      </w:r>
      <w:r w:rsidRPr="00AA6B87">
        <w:rPr>
          <w:lang w:eastAsia="it-IT"/>
        </w:rPr>
        <w:t>%</w:t>
      </w:r>
      <w:r>
        <w:rPr>
          <w:lang w:eastAsia="it-IT"/>
        </w:rPr>
        <w:t xml:space="preserve"> delle d</w:t>
      </w:r>
      <w:r w:rsidRPr="00AA6B87">
        <w:rPr>
          <w:lang w:eastAsia="it-IT"/>
        </w:rPr>
        <w:t xml:space="preserve">iocesi esiste </w:t>
      </w:r>
      <w:r>
        <w:rPr>
          <w:lang w:eastAsia="it-IT"/>
        </w:rPr>
        <w:t xml:space="preserve">un </w:t>
      </w:r>
      <w:r w:rsidRPr="00AA6B87">
        <w:rPr>
          <w:lang w:eastAsia="it-IT"/>
        </w:rPr>
        <w:t xml:space="preserve">itinerario </w:t>
      </w:r>
      <w:r>
        <w:rPr>
          <w:lang w:eastAsia="it-IT"/>
        </w:rPr>
        <w:t xml:space="preserve">prestabilito </w:t>
      </w:r>
      <w:r w:rsidRPr="00AA6B87">
        <w:rPr>
          <w:lang w:eastAsia="it-IT"/>
        </w:rPr>
        <w:t>di preparazione al matrimoni</w:t>
      </w:r>
      <w:r>
        <w:rPr>
          <w:lang w:eastAsia="it-IT"/>
        </w:rPr>
        <w:t>o</w:t>
      </w:r>
      <w:r w:rsidRPr="00AA6B87">
        <w:rPr>
          <w:lang w:eastAsia="it-IT"/>
        </w:rPr>
        <w:t>.</w:t>
      </w:r>
      <w:r>
        <w:rPr>
          <w:lang w:eastAsia="it-IT"/>
        </w:rPr>
        <w:t xml:space="preserve"> Nel 6% delle diocesi il percorso è affidato ad un centro specializzato per coppie o per il dialogo interreligioso. </w:t>
      </w:r>
      <w:r>
        <w:t xml:space="preserve">Nel </w:t>
      </w:r>
      <w:r w:rsidRPr="00AA6B87">
        <w:rPr>
          <w:lang w:eastAsia="it-IT"/>
        </w:rPr>
        <w:t>2</w:t>
      </w:r>
      <w:r>
        <w:rPr>
          <w:lang w:eastAsia="it-IT"/>
        </w:rPr>
        <w:t>2</w:t>
      </w:r>
      <w:r w:rsidRPr="00AA6B87">
        <w:rPr>
          <w:lang w:eastAsia="it-IT"/>
        </w:rPr>
        <w:t>% delle</w:t>
      </w:r>
      <w:r>
        <w:rPr>
          <w:lang w:eastAsia="it-IT"/>
        </w:rPr>
        <w:t xml:space="preserve"> </w:t>
      </w:r>
      <w:r w:rsidRPr="00AA6B87">
        <w:rPr>
          <w:lang w:eastAsia="it-IT"/>
        </w:rPr>
        <w:t xml:space="preserve">diocesi </w:t>
      </w:r>
      <w:r>
        <w:rPr>
          <w:lang w:eastAsia="it-IT"/>
        </w:rPr>
        <w:t xml:space="preserve">non </w:t>
      </w:r>
      <w:r w:rsidRPr="00AA6B87">
        <w:rPr>
          <w:lang w:eastAsia="it-IT"/>
        </w:rPr>
        <w:t xml:space="preserve">esiste </w:t>
      </w:r>
      <w:r>
        <w:rPr>
          <w:lang w:eastAsia="it-IT"/>
        </w:rPr>
        <w:t xml:space="preserve">alcun </w:t>
      </w:r>
      <w:r w:rsidRPr="00AA6B87">
        <w:rPr>
          <w:lang w:eastAsia="it-IT"/>
        </w:rPr>
        <w:t>itinerario</w:t>
      </w:r>
      <w:r>
        <w:rPr>
          <w:lang w:eastAsia="it-IT"/>
        </w:rPr>
        <w:t>. N</w:t>
      </w:r>
      <w:r w:rsidRPr="00AA6B87">
        <w:rPr>
          <w:lang w:eastAsia="it-IT"/>
        </w:rPr>
        <w:t xml:space="preserve">el </w:t>
      </w:r>
      <w:r>
        <w:rPr>
          <w:lang w:eastAsia="it-IT"/>
        </w:rPr>
        <w:t>42</w:t>
      </w:r>
      <w:r w:rsidRPr="00AA6B87">
        <w:rPr>
          <w:lang w:eastAsia="it-IT"/>
        </w:rPr>
        <w:t xml:space="preserve">% delle diocesi non esiste alcun itinerario strutturato ma esiste un percorso caso per caso. </w:t>
      </w:r>
      <w:r>
        <w:rPr>
          <w:lang w:eastAsia="it-IT"/>
        </w:rPr>
        <w:t xml:space="preserve">Nel 25% esiste un itinerario affidato al parroco. </w:t>
      </w:r>
      <w:r w:rsidRPr="00AA6B87">
        <w:rPr>
          <w:lang w:eastAsia="it-IT"/>
        </w:rPr>
        <w:t xml:space="preserve">In particolare, sommando </w:t>
      </w:r>
      <w:r>
        <w:rPr>
          <w:lang w:eastAsia="it-IT"/>
        </w:rPr>
        <w:t xml:space="preserve">i dati di questi due ultimi indicatori </w:t>
      </w:r>
      <w:r w:rsidRPr="00AA6B87">
        <w:rPr>
          <w:lang w:eastAsia="it-IT"/>
        </w:rPr>
        <w:t>questi due ultimi</w:t>
      </w:r>
      <w:r>
        <w:rPr>
          <w:lang w:eastAsia="it-IT"/>
        </w:rPr>
        <w:t xml:space="preserve"> indicatori, </w:t>
      </w:r>
      <w:r w:rsidRPr="00AA6B87">
        <w:rPr>
          <w:lang w:eastAsia="it-IT"/>
        </w:rPr>
        <w:t>si rileva che in più della</w:t>
      </w:r>
      <w:r>
        <w:rPr>
          <w:lang w:eastAsia="it-IT"/>
        </w:rPr>
        <w:t xml:space="preserve"> </w:t>
      </w:r>
      <w:r w:rsidRPr="00AA6B87">
        <w:rPr>
          <w:lang w:eastAsia="it-IT"/>
        </w:rPr>
        <w:t>metà (</w:t>
      </w:r>
      <w:r>
        <w:rPr>
          <w:lang w:eastAsia="it-IT"/>
        </w:rPr>
        <w:t>64</w:t>
      </w:r>
      <w:r w:rsidRPr="00AA6B87">
        <w:rPr>
          <w:lang w:eastAsia="it-IT"/>
        </w:rPr>
        <w:t>%) delle diocesi, non esiste alcun</w:t>
      </w:r>
      <w:r>
        <w:rPr>
          <w:lang w:eastAsia="it-IT"/>
        </w:rPr>
        <w:t xml:space="preserve"> </w:t>
      </w:r>
      <w:r w:rsidRPr="00AA6B87">
        <w:rPr>
          <w:lang w:eastAsia="it-IT"/>
        </w:rPr>
        <w:t xml:space="preserve">itinerario </w:t>
      </w:r>
      <w:r>
        <w:rPr>
          <w:lang w:eastAsia="it-IT"/>
        </w:rPr>
        <w:t>programmato, mentre nel 31% delle diocesi esiste certamente un qualche itinerario diversamente strutturato.</w:t>
      </w:r>
    </w:p>
    <w:p w:rsidR="00A3189D" w:rsidRPr="00301B6D" w:rsidRDefault="00DE533C" w:rsidP="00A3189D">
      <w:pPr>
        <w:rPr>
          <w:b/>
          <w:lang w:eastAsia="it-IT"/>
        </w:rPr>
      </w:pPr>
      <w:r>
        <w:rPr>
          <w:b/>
          <w:lang w:eastAsia="it-IT"/>
        </w:rPr>
        <w:t>Tab. n. 18</w:t>
      </w:r>
      <w:r w:rsidR="00A3189D" w:rsidRPr="00301B6D">
        <w:rPr>
          <w:b/>
          <w:lang w:eastAsia="it-IT"/>
        </w:rPr>
        <w:t>. Totale di itinerari di preparazione ai matrimoni misti (1995-2008)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7"/>
        <w:gridCol w:w="905"/>
        <w:gridCol w:w="1521"/>
        <w:gridCol w:w="905"/>
        <w:gridCol w:w="1520"/>
      </w:tblGrid>
      <w:tr w:rsidR="00A3189D" w:rsidRPr="00BD5076" w:rsidTr="00A3189D">
        <w:trPr>
          <w:cantSplit/>
          <w:trHeight w:val="20"/>
        </w:trPr>
        <w:tc>
          <w:tcPr>
            <w:tcW w:w="2519" w:type="pct"/>
            <w:vMerge w:val="restart"/>
            <w:shd w:val="clear" w:color="auto" w:fill="auto"/>
            <w:vAlign w:val="center"/>
            <w:hideMark/>
          </w:tcPr>
          <w:p w:rsidR="00A3189D" w:rsidRPr="00BD5076" w:rsidRDefault="00DC4F52" w:rsidP="00DC4F52">
            <w:pPr>
              <w:spacing w:line="240" w:lineRule="auto"/>
              <w:jc w:val="center"/>
              <w:rPr>
                <w:rFonts w:eastAsia="Times New Roman"/>
                <w:b/>
                <w:bCs/>
                <w:color w:val="000000"/>
                <w:lang w:eastAsia="ja-JP"/>
              </w:rPr>
            </w:pPr>
            <w:r>
              <w:rPr>
                <w:rFonts w:eastAsia="Times New Roman"/>
                <w:b/>
                <w:bCs/>
                <w:color w:val="000000"/>
                <w:lang w:eastAsia="ja-JP"/>
              </w:rPr>
              <w:lastRenderedPageBreak/>
              <w:t xml:space="preserve">Esistenza di </w:t>
            </w:r>
            <w:r w:rsidR="00A3189D" w:rsidRPr="00BD5076">
              <w:rPr>
                <w:rFonts w:eastAsia="Times New Roman"/>
                <w:b/>
                <w:bCs/>
                <w:color w:val="000000"/>
                <w:lang w:eastAsia="ja-JP"/>
              </w:rPr>
              <w:t xml:space="preserve">itinerario prestabilito di preparazione al matrimonio </w:t>
            </w:r>
          </w:p>
        </w:tc>
        <w:tc>
          <w:tcPr>
            <w:tcW w:w="1240" w:type="pct"/>
            <w:gridSpan w:val="2"/>
            <w:shd w:val="clear" w:color="auto" w:fill="auto"/>
            <w:noWrap/>
            <w:vAlign w:val="bottom"/>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 xml:space="preserve">Anni </w:t>
            </w:r>
            <w:r>
              <w:rPr>
                <w:rFonts w:eastAsia="Times New Roman"/>
                <w:b/>
                <w:bCs/>
                <w:color w:val="000000"/>
                <w:lang w:eastAsia="ja-JP"/>
              </w:rPr>
              <w:t>19</w:t>
            </w:r>
            <w:r w:rsidRPr="00BD5076">
              <w:rPr>
                <w:rFonts w:eastAsia="Times New Roman"/>
                <w:b/>
                <w:bCs/>
                <w:color w:val="000000"/>
                <w:lang w:eastAsia="ja-JP"/>
              </w:rPr>
              <w:t>95÷</w:t>
            </w:r>
            <w:r>
              <w:rPr>
                <w:rFonts w:eastAsia="Times New Roman"/>
                <w:b/>
                <w:bCs/>
                <w:color w:val="000000"/>
                <w:lang w:eastAsia="ja-JP"/>
              </w:rPr>
              <w:t>19</w:t>
            </w:r>
            <w:r w:rsidRPr="00BD5076">
              <w:rPr>
                <w:rFonts w:eastAsia="Times New Roman"/>
                <w:b/>
                <w:bCs/>
                <w:color w:val="000000"/>
                <w:lang w:eastAsia="ja-JP"/>
              </w:rPr>
              <w:t>98</w:t>
            </w:r>
          </w:p>
        </w:tc>
        <w:tc>
          <w:tcPr>
            <w:tcW w:w="1240" w:type="pct"/>
            <w:gridSpan w:val="2"/>
            <w:shd w:val="clear" w:color="auto" w:fill="auto"/>
            <w:noWrap/>
            <w:vAlign w:val="bottom"/>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 xml:space="preserve">Anni </w:t>
            </w:r>
            <w:r>
              <w:rPr>
                <w:rFonts w:eastAsia="Times New Roman"/>
                <w:b/>
                <w:bCs/>
                <w:color w:val="000000"/>
                <w:lang w:eastAsia="ja-JP"/>
              </w:rPr>
              <w:t>19</w:t>
            </w:r>
            <w:r w:rsidRPr="00BD5076">
              <w:rPr>
                <w:rFonts w:eastAsia="Times New Roman"/>
                <w:b/>
                <w:bCs/>
                <w:color w:val="000000"/>
                <w:lang w:eastAsia="ja-JP"/>
              </w:rPr>
              <w:t>99÷</w:t>
            </w:r>
            <w:r>
              <w:rPr>
                <w:rFonts w:eastAsia="Times New Roman"/>
                <w:b/>
                <w:bCs/>
                <w:color w:val="000000"/>
                <w:lang w:eastAsia="ja-JP"/>
              </w:rPr>
              <w:t>20</w:t>
            </w:r>
            <w:r w:rsidRPr="00BD5076">
              <w:rPr>
                <w:rFonts w:eastAsia="Times New Roman"/>
                <w:b/>
                <w:bCs/>
                <w:color w:val="000000"/>
                <w:lang w:eastAsia="ja-JP"/>
              </w:rPr>
              <w:t>08</w:t>
            </w:r>
          </w:p>
        </w:tc>
      </w:tr>
      <w:tr w:rsidR="00A3189D" w:rsidRPr="00BD5076" w:rsidTr="00A3189D">
        <w:trPr>
          <w:cantSplit/>
          <w:trHeight w:val="20"/>
        </w:trPr>
        <w:tc>
          <w:tcPr>
            <w:tcW w:w="2519" w:type="pct"/>
            <w:vMerge/>
            <w:shd w:val="clear" w:color="auto" w:fill="auto"/>
            <w:vAlign w:val="center"/>
            <w:hideMark/>
          </w:tcPr>
          <w:p w:rsidR="00A3189D" w:rsidRPr="00BD5076" w:rsidRDefault="00A3189D" w:rsidP="00D05202">
            <w:pPr>
              <w:spacing w:line="240" w:lineRule="auto"/>
              <w:rPr>
                <w:rFonts w:eastAsia="Times New Roman"/>
                <w:b/>
                <w:bCs/>
                <w:color w:val="000000"/>
                <w:lang w:eastAsia="ja-JP"/>
              </w:rPr>
            </w:pP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V.A.</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V.A.</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w:t>
            </w:r>
          </w:p>
        </w:tc>
      </w:tr>
      <w:tr w:rsidR="00A3189D" w:rsidRPr="00BD5076" w:rsidTr="00A3189D">
        <w:trPr>
          <w:cantSplit/>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Non esiste alcun itinerario</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23</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19.17%</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18</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21.69%</w:t>
            </w:r>
          </w:p>
        </w:tc>
      </w:tr>
      <w:tr w:rsidR="00A3189D" w:rsidRPr="00BD5076" w:rsidTr="00A3189D">
        <w:trPr>
          <w:cantSplit/>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Non esiste un itinerario strutturato, ma esiste un percorso caso per caso</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66</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55.00%</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35</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42.17%</w:t>
            </w:r>
          </w:p>
        </w:tc>
      </w:tr>
      <w:tr w:rsidR="00A3189D" w:rsidRPr="00BD5076" w:rsidTr="00A3189D">
        <w:trPr>
          <w:cantSplit/>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Esiste un itinerario prestabilito affidato al parroco</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19</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15.83%</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21</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25.30%</w:t>
            </w:r>
          </w:p>
        </w:tc>
      </w:tr>
      <w:tr w:rsidR="00A3189D" w:rsidRPr="00BD5076" w:rsidTr="00A3189D">
        <w:trPr>
          <w:cantSplit/>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Esiste un itinerario prestabilito affidato a dedicate realtà diocesane</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4.17%</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6.02%</w:t>
            </w:r>
          </w:p>
        </w:tc>
      </w:tr>
      <w:tr w:rsidR="00A3189D" w:rsidRPr="00BD5076" w:rsidTr="00A3189D">
        <w:trPr>
          <w:cantSplit/>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Diocesi che non hanno risposto alla domanda</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7</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5.83%</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4.82%</w:t>
            </w:r>
          </w:p>
        </w:tc>
      </w:tr>
      <w:tr w:rsidR="00A3189D" w:rsidRPr="00BD5076" w:rsidTr="00A3189D">
        <w:trPr>
          <w:cantSplit/>
          <w:trHeight w:val="20"/>
        </w:trPr>
        <w:tc>
          <w:tcPr>
            <w:tcW w:w="2519" w:type="pct"/>
            <w:shd w:val="clear" w:color="auto" w:fill="auto"/>
            <w:noWrap/>
            <w:vAlign w:val="bottom"/>
            <w:hideMark/>
          </w:tcPr>
          <w:p w:rsidR="00A3189D" w:rsidRPr="00BD5076" w:rsidRDefault="00A3189D" w:rsidP="00D05202">
            <w:pPr>
              <w:spacing w:line="240" w:lineRule="auto"/>
              <w:rPr>
                <w:rFonts w:eastAsia="Times New Roman"/>
                <w:b/>
                <w:bCs/>
                <w:color w:val="000000"/>
                <w:lang w:eastAsia="ja-JP"/>
              </w:rPr>
            </w:pPr>
            <w:r w:rsidRPr="00BD5076">
              <w:rPr>
                <w:rFonts w:eastAsia="Times New Roman"/>
                <w:b/>
                <w:bCs/>
                <w:color w:val="000000"/>
                <w:lang w:eastAsia="ja-JP"/>
              </w:rPr>
              <w:t>TOT</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120</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100%</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83</w:t>
            </w:r>
          </w:p>
        </w:tc>
        <w:tc>
          <w:tcPr>
            <w:tcW w:w="778"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100%</w:t>
            </w:r>
          </w:p>
        </w:tc>
      </w:tr>
    </w:tbl>
    <w:p w:rsidR="00A3189D" w:rsidRDefault="00A3189D" w:rsidP="00A3189D"/>
    <w:p w:rsidR="00A3189D" w:rsidRPr="00301B6D" w:rsidRDefault="00DE533C" w:rsidP="00A3189D">
      <w:pPr>
        <w:rPr>
          <w:b/>
          <w:lang w:eastAsia="it-IT"/>
        </w:rPr>
      </w:pPr>
      <w:r>
        <w:rPr>
          <w:b/>
          <w:lang w:eastAsia="it-IT"/>
        </w:rPr>
        <w:t>Tab. n. 19</w:t>
      </w:r>
      <w:r w:rsidR="00A3189D" w:rsidRPr="00301B6D">
        <w:rPr>
          <w:b/>
          <w:lang w:eastAsia="it-IT"/>
        </w:rPr>
        <w:t>. Totale di itinerari dopo il matrimonio (1995-2008)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28"/>
        <w:gridCol w:w="905"/>
        <w:gridCol w:w="1520"/>
        <w:gridCol w:w="905"/>
        <w:gridCol w:w="1520"/>
      </w:tblGrid>
      <w:tr w:rsidR="00A3189D" w:rsidRPr="00BD5076" w:rsidTr="00A3189D">
        <w:trPr>
          <w:trHeight w:val="20"/>
        </w:trPr>
        <w:tc>
          <w:tcPr>
            <w:tcW w:w="2519" w:type="pct"/>
            <w:vMerge w:val="restart"/>
            <w:shd w:val="clear" w:color="auto" w:fill="auto"/>
            <w:vAlign w:val="center"/>
            <w:hideMark/>
          </w:tcPr>
          <w:p w:rsidR="00A3189D" w:rsidRPr="00BD5076" w:rsidRDefault="00DC4F52" w:rsidP="00DC4F52">
            <w:pPr>
              <w:spacing w:line="240" w:lineRule="auto"/>
              <w:jc w:val="center"/>
              <w:rPr>
                <w:rFonts w:eastAsia="Times New Roman"/>
                <w:b/>
                <w:bCs/>
                <w:color w:val="000000"/>
                <w:lang w:eastAsia="ja-JP"/>
              </w:rPr>
            </w:pPr>
            <w:r>
              <w:rPr>
                <w:rFonts w:eastAsia="Times New Roman"/>
                <w:b/>
                <w:bCs/>
                <w:color w:val="000000"/>
                <w:lang w:eastAsia="ja-JP"/>
              </w:rPr>
              <w:t xml:space="preserve">Esistenza di </w:t>
            </w:r>
            <w:r w:rsidR="00A3189D" w:rsidRPr="00BD5076">
              <w:rPr>
                <w:rFonts w:eastAsia="Times New Roman"/>
                <w:b/>
                <w:bCs/>
                <w:color w:val="000000"/>
                <w:lang w:eastAsia="ja-JP"/>
              </w:rPr>
              <w:t>itinerario prestabilito  di accompagnamento dei coniugi dopo il matrimonio</w:t>
            </w:r>
          </w:p>
        </w:tc>
        <w:tc>
          <w:tcPr>
            <w:tcW w:w="1240" w:type="pct"/>
            <w:gridSpan w:val="2"/>
            <w:shd w:val="clear" w:color="auto" w:fill="auto"/>
            <w:noWrap/>
            <w:vAlign w:val="bottom"/>
            <w:hideMark/>
          </w:tcPr>
          <w:p w:rsidR="00A3189D" w:rsidRPr="00BD5076" w:rsidRDefault="00A3189D" w:rsidP="00D05202">
            <w:pPr>
              <w:spacing w:line="240" w:lineRule="auto"/>
              <w:jc w:val="center"/>
              <w:rPr>
                <w:rFonts w:eastAsia="Times New Roman"/>
                <w:b/>
                <w:color w:val="000000"/>
                <w:lang w:eastAsia="ja-JP"/>
              </w:rPr>
            </w:pPr>
            <w:r w:rsidRPr="00BD5076">
              <w:rPr>
                <w:rFonts w:eastAsia="Times New Roman"/>
                <w:b/>
                <w:color w:val="000000"/>
                <w:lang w:eastAsia="ja-JP"/>
              </w:rPr>
              <w:t xml:space="preserve">Anni </w:t>
            </w:r>
            <w:r>
              <w:rPr>
                <w:rFonts w:eastAsia="Times New Roman"/>
                <w:b/>
                <w:color w:val="000000"/>
                <w:lang w:eastAsia="ja-JP"/>
              </w:rPr>
              <w:t>19</w:t>
            </w:r>
            <w:r w:rsidRPr="00BD5076">
              <w:rPr>
                <w:rFonts w:eastAsia="Times New Roman"/>
                <w:b/>
                <w:color w:val="000000"/>
                <w:lang w:eastAsia="ja-JP"/>
              </w:rPr>
              <w:t>95÷</w:t>
            </w:r>
            <w:r>
              <w:rPr>
                <w:rFonts w:eastAsia="Times New Roman"/>
                <w:b/>
                <w:color w:val="000000"/>
                <w:lang w:eastAsia="ja-JP"/>
              </w:rPr>
              <w:t>19</w:t>
            </w:r>
            <w:r w:rsidRPr="00BD5076">
              <w:rPr>
                <w:rFonts w:eastAsia="Times New Roman"/>
                <w:b/>
                <w:color w:val="000000"/>
                <w:lang w:eastAsia="ja-JP"/>
              </w:rPr>
              <w:t>98</w:t>
            </w:r>
          </w:p>
        </w:tc>
        <w:tc>
          <w:tcPr>
            <w:tcW w:w="1240" w:type="pct"/>
            <w:gridSpan w:val="2"/>
            <w:shd w:val="clear" w:color="auto" w:fill="auto"/>
            <w:noWrap/>
            <w:vAlign w:val="bottom"/>
            <w:hideMark/>
          </w:tcPr>
          <w:p w:rsidR="00A3189D" w:rsidRPr="00BD5076" w:rsidRDefault="00A3189D" w:rsidP="00D05202">
            <w:pPr>
              <w:spacing w:line="240" w:lineRule="auto"/>
              <w:jc w:val="center"/>
              <w:rPr>
                <w:rFonts w:eastAsia="Times New Roman"/>
                <w:b/>
                <w:color w:val="000000"/>
                <w:lang w:eastAsia="ja-JP"/>
              </w:rPr>
            </w:pPr>
            <w:r w:rsidRPr="00BD5076">
              <w:rPr>
                <w:rFonts w:eastAsia="Times New Roman"/>
                <w:b/>
                <w:color w:val="000000"/>
                <w:lang w:eastAsia="ja-JP"/>
              </w:rPr>
              <w:t xml:space="preserve">Anni </w:t>
            </w:r>
            <w:r>
              <w:rPr>
                <w:rFonts w:eastAsia="Times New Roman"/>
                <w:b/>
                <w:color w:val="000000"/>
                <w:lang w:eastAsia="ja-JP"/>
              </w:rPr>
              <w:t>19</w:t>
            </w:r>
            <w:r w:rsidRPr="00BD5076">
              <w:rPr>
                <w:rFonts w:eastAsia="Times New Roman"/>
                <w:b/>
                <w:color w:val="000000"/>
                <w:lang w:eastAsia="ja-JP"/>
              </w:rPr>
              <w:t>99÷</w:t>
            </w:r>
            <w:r>
              <w:rPr>
                <w:rFonts w:eastAsia="Times New Roman"/>
                <w:b/>
                <w:color w:val="000000"/>
                <w:lang w:eastAsia="ja-JP"/>
              </w:rPr>
              <w:t>20</w:t>
            </w:r>
            <w:r w:rsidRPr="00BD5076">
              <w:rPr>
                <w:rFonts w:eastAsia="Times New Roman"/>
                <w:b/>
                <w:color w:val="000000"/>
                <w:lang w:eastAsia="ja-JP"/>
              </w:rPr>
              <w:t>08</w:t>
            </w:r>
          </w:p>
        </w:tc>
      </w:tr>
      <w:tr w:rsidR="00A3189D" w:rsidRPr="00BD5076" w:rsidTr="00A3189D">
        <w:trPr>
          <w:trHeight w:val="20"/>
        </w:trPr>
        <w:tc>
          <w:tcPr>
            <w:tcW w:w="2519" w:type="pct"/>
            <w:vMerge/>
            <w:shd w:val="clear" w:color="auto" w:fill="auto"/>
            <w:vAlign w:val="center"/>
            <w:hideMark/>
          </w:tcPr>
          <w:p w:rsidR="00A3189D" w:rsidRPr="00BD5076" w:rsidRDefault="00A3189D" w:rsidP="00D05202">
            <w:pPr>
              <w:spacing w:line="240" w:lineRule="auto"/>
              <w:rPr>
                <w:rFonts w:eastAsia="Times New Roman"/>
                <w:b/>
                <w:bCs/>
                <w:color w:val="000000"/>
                <w:lang w:eastAsia="ja-JP"/>
              </w:rPr>
            </w:pP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V.A.</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V.A.</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Non esiste alcun itinerario</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58</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48.33%</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44</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53.01%</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Non esiste un itinerario strutturato, ma esiste un percorso caso per caso</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40</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33.33%</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21</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25.30%</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E’ previsto e proposto un itinerario nelle singole parrocchie</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13</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10.83%</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10</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12.05%</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E’ previsto e proposto un itinerario affidato a dedicate realtà diocesane</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3</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2.50%</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6.02%</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color w:val="000000"/>
                <w:lang w:eastAsia="ja-JP"/>
              </w:rPr>
            </w:pPr>
            <w:r w:rsidRPr="00BD5076">
              <w:rPr>
                <w:rFonts w:eastAsia="Times New Roman"/>
                <w:color w:val="000000"/>
                <w:lang w:eastAsia="ja-JP"/>
              </w:rPr>
              <w:t>Diocesi che non hanno risposto alla domanda</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6</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5.00%</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3</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color w:val="000000"/>
                <w:lang w:eastAsia="ja-JP"/>
              </w:rPr>
            </w:pPr>
            <w:r w:rsidRPr="00BD5076">
              <w:rPr>
                <w:rFonts w:eastAsia="Times New Roman"/>
                <w:color w:val="000000"/>
                <w:lang w:eastAsia="ja-JP"/>
              </w:rPr>
              <w:t>3.61%</w:t>
            </w:r>
          </w:p>
        </w:tc>
      </w:tr>
      <w:tr w:rsidR="00A3189D" w:rsidRPr="00BD5076" w:rsidTr="00A3189D">
        <w:trPr>
          <w:trHeight w:val="20"/>
        </w:trPr>
        <w:tc>
          <w:tcPr>
            <w:tcW w:w="2519" w:type="pct"/>
            <w:shd w:val="clear" w:color="auto" w:fill="auto"/>
            <w:vAlign w:val="bottom"/>
            <w:hideMark/>
          </w:tcPr>
          <w:p w:rsidR="00A3189D" w:rsidRPr="00BD5076" w:rsidRDefault="00A3189D" w:rsidP="00D05202">
            <w:pPr>
              <w:spacing w:line="240" w:lineRule="auto"/>
              <w:rPr>
                <w:rFonts w:eastAsia="Times New Roman"/>
                <w:b/>
                <w:bCs/>
                <w:color w:val="000000"/>
                <w:lang w:eastAsia="ja-JP"/>
              </w:rPr>
            </w:pPr>
            <w:r w:rsidRPr="00BD5076">
              <w:rPr>
                <w:rFonts w:eastAsia="Times New Roman"/>
                <w:b/>
                <w:bCs/>
                <w:color w:val="000000"/>
                <w:lang w:eastAsia="ja-JP"/>
              </w:rPr>
              <w:t>TOT</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120</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100%</w:t>
            </w:r>
          </w:p>
        </w:tc>
        <w:tc>
          <w:tcPr>
            <w:tcW w:w="463"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83</w:t>
            </w:r>
          </w:p>
        </w:tc>
        <w:tc>
          <w:tcPr>
            <w:tcW w:w="777" w:type="pct"/>
            <w:shd w:val="clear" w:color="auto" w:fill="auto"/>
            <w:noWrap/>
            <w:vAlign w:val="center"/>
            <w:hideMark/>
          </w:tcPr>
          <w:p w:rsidR="00A3189D" w:rsidRPr="00BD5076" w:rsidRDefault="00A3189D" w:rsidP="00D05202">
            <w:pPr>
              <w:spacing w:line="240" w:lineRule="auto"/>
              <w:jc w:val="center"/>
              <w:rPr>
                <w:rFonts w:eastAsia="Times New Roman"/>
                <w:b/>
                <w:bCs/>
                <w:color w:val="000000"/>
                <w:lang w:eastAsia="ja-JP"/>
              </w:rPr>
            </w:pPr>
            <w:r w:rsidRPr="00BD5076">
              <w:rPr>
                <w:rFonts w:eastAsia="Times New Roman"/>
                <w:b/>
                <w:bCs/>
                <w:color w:val="000000"/>
                <w:lang w:eastAsia="ja-JP"/>
              </w:rPr>
              <w:t>100%</w:t>
            </w:r>
          </w:p>
        </w:tc>
      </w:tr>
    </w:tbl>
    <w:p w:rsidR="00A3189D" w:rsidRDefault="00A3189D" w:rsidP="00A3189D">
      <w:r>
        <w:t xml:space="preserve">Analogamente si è proceduto con le risposte delle diocesi sull’itinerario previsto dopo il matrimonio. Infatti nella maggior parte dei casi (53%) non è previsto nessun itinerario  prestabilito e nel 25% delle diocesi non esiste alcun itinerario strutturato ma esiste un itinerario caso per caso. Nel 12% dei casi è previsto e proposto un itinerario nelle singole  parrocchie e nel 6% è previsto un itinerario affidato a centri interreligiosi o interdiocesani. In definitiva solo in 15 diocesi esiste sicuramente un itinerario affidato alle parrocchie (10) </w:t>
      </w:r>
      <w:r w:rsidR="00DE533C">
        <w:t xml:space="preserve">e, </w:t>
      </w:r>
      <w:r>
        <w:t>in 5 casi</w:t>
      </w:r>
      <w:r w:rsidR="00DE533C">
        <w:t>,</w:t>
      </w:r>
      <w:r>
        <w:t xml:space="preserve"> un itinerario affidato a centri diocesani (per esempio centri per coppie  interconfessionali o interreligiose).</w:t>
      </w:r>
    </w:p>
    <w:p w:rsidR="00A3189D" w:rsidRDefault="00A3189D" w:rsidP="00A3189D">
      <w:r>
        <w:t>Comparando i dati con quelli della precedente rilevazione degli anni 1995-1998,</w:t>
      </w:r>
      <w:r>
        <w:rPr>
          <w:rFonts w:eastAsia="Times New Roman" w:cs="Arial"/>
          <w:bCs/>
          <w:lang w:eastAsia="it-IT"/>
        </w:rPr>
        <w:t xml:space="preserve"> possiamo dire che, nel totale, è diminuito il dato delle diocesi che non hanno un itinerario programmato prima del matrimonio che è passato dal 74% al 64% ed è aumentato il numero delle diocesi che hanno un percorso programmato (dal 15% al 25%). Sembra aumentata la sensibilità pastorale delle diocesi e dei parroci nei confronti della tematica, probabilmente in conseguenza della crescita del fenomeno, come è stato evidenziato. </w:t>
      </w:r>
      <w:r>
        <w:t xml:space="preserve">In maniera analoga possiamo affermare per l’itinerario </w:t>
      </w:r>
      <w:r>
        <w:lastRenderedPageBreak/>
        <w:t>prestabilito di accompagnamento dei coniugi dopo il matrimonio. Anche se in maniera non molto significativa, sono diminuite le diocesi che non hanno un itinerario prestabilito dopo il matrimonio (da 81% a 78%) e sono aumentate le diocesi che organizzano percorsi (da 12% a 18%)</w:t>
      </w:r>
      <w:r w:rsidR="00EC1ADE">
        <w:t>.</w:t>
      </w:r>
    </w:p>
    <w:p w:rsidR="00301B6D" w:rsidRDefault="00A3189D" w:rsidP="00A3189D">
      <w:r>
        <w:t>Incrociand</w:t>
      </w:r>
      <w:r w:rsidR="00DE533C">
        <w:t>o</w:t>
      </w:r>
      <w:r>
        <w:t xml:space="preserve"> i dati per diocesi, notiamo generalmente che le diocesi che seguono le coppie prima del matrimonio, programmano un itinerario anche dopo il matrimonio, come dire, se l’attenzione pastorale c’è prima, rimane anche dopo</w:t>
      </w:r>
      <w:r w:rsidR="00EC1ADE">
        <w:t xml:space="preserve">. </w:t>
      </w:r>
      <w:r>
        <w:t>Ulteriori  elementi indicano che ci sia un “abbandono pastorale” della coppia dopo il matrimonio. Nelle diocesi si registra una situazione per cui, dopo un matrimonio misto, la diocesi non conosce il percorso religioso della “nuova famiglia”; questo accade, forse, nel momento in cui, dopo l’entusiasmo iniziale, la coppia avrebbe maggiore necessità, soprattutto quando arrivano i figli e si deve decidere la loro educazione umana e religiosa. Ne è una conferma la risposta alla domanda se esistono dei dati sul battesimo dei figli della coppia interconfessionale o interreligiosa. I numeri sono molto eloquenti; solo 4 diocesi hanno risposto affermativamente.</w:t>
      </w:r>
    </w:p>
    <w:p w:rsidR="00724B3C" w:rsidRDefault="00724B3C" w:rsidP="00A3189D"/>
    <w:p w:rsidR="00A3189D" w:rsidRPr="00301B6D" w:rsidRDefault="008A5A7F" w:rsidP="00A3189D">
      <w:pPr>
        <w:rPr>
          <w:b/>
        </w:rPr>
      </w:pPr>
      <w:r w:rsidRPr="00301B6D">
        <w:rPr>
          <w:b/>
          <w:lang w:eastAsia="it-IT"/>
        </w:rPr>
        <w:t>Tab.</w:t>
      </w:r>
      <w:r w:rsidR="00EC1ADE" w:rsidRPr="00301B6D">
        <w:rPr>
          <w:b/>
          <w:lang w:eastAsia="it-IT"/>
        </w:rPr>
        <w:t xml:space="preserve"> </w:t>
      </w:r>
      <w:r w:rsidRPr="00301B6D">
        <w:rPr>
          <w:b/>
          <w:lang w:eastAsia="it-IT"/>
        </w:rPr>
        <w:t>n.</w:t>
      </w:r>
      <w:r w:rsidR="00EC1ADE" w:rsidRPr="00301B6D">
        <w:rPr>
          <w:b/>
          <w:lang w:eastAsia="it-IT"/>
        </w:rPr>
        <w:t xml:space="preserve"> </w:t>
      </w:r>
      <w:r w:rsidRPr="00301B6D">
        <w:rPr>
          <w:b/>
          <w:lang w:eastAsia="it-IT"/>
        </w:rPr>
        <w:t>2</w:t>
      </w:r>
      <w:r w:rsidR="00DE533C">
        <w:rPr>
          <w:b/>
          <w:lang w:eastAsia="it-IT"/>
        </w:rPr>
        <w:t>0</w:t>
      </w:r>
      <w:r w:rsidR="00A3189D" w:rsidRPr="00301B6D">
        <w:rPr>
          <w:b/>
          <w:lang w:eastAsia="it-IT"/>
        </w:rPr>
        <w:t>. Dati relativi al battesimo di figli nell'ambito dei matrimoni interreligiosi e interconfessionali celebrati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1"/>
        <w:gridCol w:w="1918"/>
        <w:gridCol w:w="2229"/>
      </w:tblGrid>
      <w:tr w:rsidR="00890080" w:rsidRPr="00890080" w:rsidTr="00890080">
        <w:trPr>
          <w:cantSplit/>
          <w:trHeight w:val="20"/>
        </w:trPr>
        <w:tc>
          <w:tcPr>
            <w:tcW w:w="5000" w:type="pct"/>
            <w:gridSpan w:val="3"/>
            <w:shd w:val="clear" w:color="auto" w:fill="auto"/>
            <w:vAlign w:val="center"/>
            <w:hideMark/>
          </w:tcPr>
          <w:p w:rsidR="00890080" w:rsidRPr="00890080" w:rsidRDefault="00EC1ADE" w:rsidP="00724B3C">
            <w:pPr>
              <w:spacing w:line="240" w:lineRule="auto"/>
              <w:jc w:val="left"/>
              <w:rPr>
                <w:rFonts w:eastAsia="Times New Roman"/>
                <w:color w:val="000000"/>
                <w:sz w:val="22"/>
                <w:lang w:eastAsia="ja-JP"/>
              </w:rPr>
            </w:pPr>
            <w:r>
              <w:rPr>
                <w:rFonts w:eastAsia="Times New Roman"/>
                <w:color w:val="000000"/>
                <w:sz w:val="22"/>
                <w:lang w:eastAsia="ja-JP"/>
              </w:rPr>
              <w:t xml:space="preserve">Esistenza di </w:t>
            </w:r>
            <w:r w:rsidR="00890080" w:rsidRPr="00890080">
              <w:rPr>
                <w:rFonts w:eastAsia="Times New Roman"/>
                <w:color w:val="000000"/>
                <w:sz w:val="22"/>
                <w:lang w:eastAsia="ja-JP"/>
              </w:rPr>
              <w:t>dati relativi al battesimo di figli nell'ambito</w:t>
            </w:r>
            <w:r w:rsidR="00724B3C">
              <w:rPr>
                <w:rFonts w:eastAsia="Times New Roman"/>
                <w:color w:val="000000"/>
                <w:sz w:val="22"/>
                <w:lang w:eastAsia="ja-JP"/>
              </w:rPr>
              <w:t xml:space="preserve"> </w:t>
            </w:r>
            <w:r w:rsidR="00890080" w:rsidRPr="00890080">
              <w:rPr>
                <w:rFonts w:eastAsia="Times New Roman"/>
                <w:color w:val="000000"/>
                <w:sz w:val="22"/>
                <w:lang w:eastAsia="ja-JP"/>
              </w:rPr>
              <w:t>dei matrimoni interreligiosi</w:t>
            </w:r>
            <w:r>
              <w:rPr>
                <w:rFonts w:eastAsia="Times New Roman"/>
                <w:color w:val="000000"/>
                <w:sz w:val="22"/>
                <w:lang w:eastAsia="ja-JP"/>
              </w:rPr>
              <w:t xml:space="preserve"> e interconfessionali</w:t>
            </w:r>
          </w:p>
        </w:tc>
      </w:tr>
      <w:tr w:rsidR="00890080" w:rsidRPr="00890080" w:rsidTr="00890080">
        <w:trPr>
          <w:cantSplit/>
          <w:trHeight w:val="2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Risposta diocesi</w:t>
            </w:r>
          </w:p>
        </w:tc>
        <w:tc>
          <w:tcPr>
            <w:tcW w:w="981" w:type="pct"/>
            <w:shd w:val="clear" w:color="auto" w:fill="auto"/>
            <w:noWrap/>
            <w:vAlign w:val="center"/>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Totale</w:t>
            </w:r>
          </w:p>
        </w:tc>
        <w:tc>
          <w:tcPr>
            <w:tcW w:w="1140" w:type="pct"/>
            <w:shd w:val="clear" w:color="auto" w:fill="auto"/>
            <w:noWrap/>
            <w:vAlign w:val="center"/>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w:t>
            </w:r>
          </w:p>
        </w:tc>
      </w:tr>
      <w:tr w:rsidR="00890080" w:rsidRPr="00890080" w:rsidTr="00890080">
        <w:trPr>
          <w:cantSplit/>
          <w:trHeight w:val="2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No</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29</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34.94%</w:t>
            </w:r>
          </w:p>
        </w:tc>
      </w:tr>
      <w:tr w:rsidR="00890080" w:rsidRPr="00890080" w:rsidTr="00890080">
        <w:trPr>
          <w:cantSplit/>
          <w:trHeight w:val="2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Si</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4</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4.82%</w:t>
            </w:r>
          </w:p>
        </w:tc>
      </w:tr>
      <w:tr w:rsidR="00890080" w:rsidRPr="00890080" w:rsidTr="00890080">
        <w:trPr>
          <w:cantSplit/>
          <w:trHeight w:val="2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Nessuna risposta</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50</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60.24%</w:t>
            </w:r>
          </w:p>
        </w:tc>
      </w:tr>
      <w:tr w:rsidR="00890080" w:rsidRPr="00890080" w:rsidTr="00890080">
        <w:trPr>
          <w:cantSplit/>
          <w:trHeight w:val="2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Totale complessivo</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83</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100%</w:t>
            </w:r>
          </w:p>
        </w:tc>
      </w:tr>
    </w:tbl>
    <w:p w:rsidR="00A3189D" w:rsidRDefault="00A3189D" w:rsidP="00A3189D"/>
    <w:p w:rsidR="00890080" w:rsidRDefault="00890080" w:rsidP="00890080">
      <w:r w:rsidRPr="004B7258">
        <w:t xml:space="preserve">Non sembra che ci sia un’attenzione particolare anche per quanto riguarda la celebrazione liturgica matrimoniale. Infatti, tranne in 2 casi, non esistono schemi specifici di celebrazione liturgica che tengano conto, se non </w:t>
      </w:r>
      <w:r>
        <w:t>altr</w:t>
      </w:r>
      <w:r w:rsidR="00EC1ADE">
        <w:t>o</w:t>
      </w:r>
      <w:r w:rsidRPr="004B7258">
        <w:t>, dell’appartenenza</w:t>
      </w:r>
      <w:r>
        <w:t xml:space="preserve"> </w:t>
      </w:r>
      <w:r w:rsidRPr="004B7258">
        <w:t xml:space="preserve">ad una diversa confessione o religione dell’altra componente. Probabilmente </w:t>
      </w:r>
      <w:r w:rsidR="00EC1ADE">
        <w:t xml:space="preserve">programmare </w:t>
      </w:r>
      <w:r w:rsidRPr="004B7258">
        <w:t xml:space="preserve">riti liturgici preparati e curati come “riti misti” costituirebbe già una forma di catechesi “ecumenica” o/e “interconfessionale. </w:t>
      </w:r>
    </w:p>
    <w:p w:rsidR="00301B6D" w:rsidRDefault="00301B6D" w:rsidP="00890080"/>
    <w:p w:rsidR="00890080" w:rsidRPr="00301B6D" w:rsidRDefault="00890080" w:rsidP="00890080">
      <w:pPr>
        <w:rPr>
          <w:b/>
        </w:rPr>
      </w:pPr>
      <w:r w:rsidRPr="00301B6D">
        <w:rPr>
          <w:b/>
          <w:lang w:eastAsia="it-IT"/>
        </w:rPr>
        <w:t>Tab. n. 2</w:t>
      </w:r>
      <w:r w:rsidR="00DE533C">
        <w:rPr>
          <w:b/>
          <w:lang w:eastAsia="it-IT"/>
        </w:rPr>
        <w:t>1</w:t>
      </w:r>
      <w:r w:rsidRPr="00301B6D">
        <w:rPr>
          <w:b/>
          <w:lang w:eastAsia="it-IT"/>
        </w:rPr>
        <w:t xml:space="preserve">. Dati relativi a schemi di liturgia specifica per l matrimoni interreligiosi e interconfessionali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1"/>
        <w:gridCol w:w="1918"/>
        <w:gridCol w:w="2229"/>
      </w:tblGrid>
      <w:tr w:rsidR="00890080" w:rsidRPr="00890080" w:rsidTr="00890080">
        <w:trPr>
          <w:cantSplit/>
          <w:trHeight w:val="300"/>
        </w:trPr>
        <w:tc>
          <w:tcPr>
            <w:tcW w:w="5000" w:type="pct"/>
            <w:gridSpan w:val="3"/>
            <w:shd w:val="clear" w:color="auto" w:fill="auto"/>
            <w:noWrap/>
            <w:vAlign w:val="bottom"/>
            <w:hideMark/>
          </w:tcPr>
          <w:p w:rsidR="00890080" w:rsidRPr="00890080" w:rsidRDefault="00890080" w:rsidP="00EC1ADE">
            <w:pPr>
              <w:spacing w:line="240" w:lineRule="auto"/>
              <w:jc w:val="left"/>
              <w:rPr>
                <w:rFonts w:eastAsia="Times New Roman"/>
                <w:color w:val="000000"/>
                <w:sz w:val="22"/>
                <w:lang w:eastAsia="ja-JP"/>
              </w:rPr>
            </w:pPr>
            <w:r w:rsidRPr="00890080">
              <w:rPr>
                <w:rFonts w:eastAsia="Times New Roman"/>
                <w:color w:val="000000"/>
                <w:sz w:val="22"/>
                <w:lang w:eastAsia="ja-JP"/>
              </w:rPr>
              <w:t>Esist</w:t>
            </w:r>
            <w:r w:rsidR="00EC1ADE">
              <w:rPr>
                <w:rFonts w:eastAsia="Times New Roman"/>
                <w:color w:val="000000"/>
                <w:sz w:val="22"/>
                <w:lang w:eastAsia="ja-JP"/>
              </w:rPr>
              <w:t xml:space="preserve">enza di </w:t>
            </w:r>
            <w:r w:rsidRPr="00890080">
              <w:rPr>
                <w:rFonts w:eastAsia="Times New Roman"/>
                <w:color w:val="000000"/>
                <w:sz w:val="22"/>
                <w:lang w:eastAsia="ja-JP"/>
              </w:rPr>
              <w:t>schemi specifici di celebrazione liturgica</w:t>
            </w:r>
          </w:p>
        </w:tc>
      </w:tr>
      <w:tr w:rsidR="00890080" w:rsidRPr="00890080" w:rsidTr="00890080">
        <w:trPr>
          <w:cantSplit/>
          <w:trHeight w:val="30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Risposta diocesi</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Totale</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w:t>
            </w:r>
          </w:p>
        </w:tc>
      </w:tr>
      <w:tr w:rsidR="00890080" w:rsidRPr="00890080" w:rsidTr="00890080">
        <w:trPr>
          <w:cantSplit/>
          <w:trHeight w:val="30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No</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76</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91.57%</w:t>
            </w:r>
          </w:p>
        </w:tc>
      </w:tr>
      <w:tr w:rsidR="00890080" w:rsidRPr="00890080" w:rsidTr="00890080">
        <w:trPr>
          <w:cantSplit/>
          <w:trHeight w:val="30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lastRenderedPageBreak/>
              <w:t>Si</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2</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2.41%</w:t>
            </w:r>
          </w:p>
        </w:tc>
      </w:tr>
      <w:tr w:rsidR="00890080" w:rsidRPr="00890080" w:rsidTr="00890080">
        <w:trPr>
          <w:cantSplit/>
          <w:trHeight w:val="30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(vuoto)</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5</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6.02%</w:t>
            </w:r>
          </w:p>
        </w:tc>
      </w:tr>
      <w:tr w:rsidR="00890080" w:rsidRPr="00890080" w:rsidTr="00890080">
        <w:trPr>
          <w:cantSplit/>
          <w:trHeight w:val="300"/>
        </w:trPr>
        <w:tc>
          <w:tcPr>
            <w:tcW w:w="2879" w:type="pct"/>
            <w:shd w:val="clear" w:color="auto" w:fill="auto"/>
            <w:noWrap/>
            <w:vAlign w:val="bottom"/>
            <w:hideMark/>
          </w:tcPr>
          <w:p w:rsidR="00890080" w:rsidRPr="00890080" w:rsidRDefault="00890080" w:rsidP="00890080">
            <w:pPr>
              <w:spacing w:line="240" w:lineRule="auto"/>
              <w:jc w:val="left"/>
              <w:rPr>
                <w:rFonts w:eastAsia="Times New Roman"/>
                <w:color w:val="000000"/>
                <w:sz w:val="22"/>
                <w:lang w:eastAsia="ja-JP"/>
              </w:rPr>
            </w:pPr>
            <w:r w:rsidRPr="00890080">
              <w:rPr>
                <w:rFonts w:eastAsia="Times New Roman"/>
                <w:color w:val="000000"/>
                <w:sz w:val="22"/>
                <w:lang w:eastAsia="ja-JP"/>
              </w:rPr>
              <w:t>Totale complessivo</w:t>
            </w:r>
          </w:p>
        </w:tc>
        <w:tc>
          <w:tcPr>
            <w:tcW w:w="981"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83</w:t>
            </w:r>
          </w:p>
        </w:tc>
        <w:tc>
          <w:tcPr>
            <w:tcW w:w="1140" w:type="pct"/>
            <w:shd w:val="clear" w:color="auto" w:fill="auto"/>
            <w:noWrap/>
            <w:vAlign w:val="bottom"/>
            <w:hideMark/>
          </w:tcPr>
          <w:p w:rsidR="00890080" w:rsidRPr="00890080" w:rsidRDefault="00890080" w:rsidP="00890080">
            <w:pPr>
              <w:spacing w:line="240" w:lineRule="auto"/>
              <w:jc w:val="center"/>
              <w:rPr>
                <w:rFonts w:eastAsia="Times New Roman"/>
                <w:color w:val="000000"/>
                <w:sz w:val="22"/>
                <w:lang w:eastAsia="ja-JP"/>
              </w:rPr>
            </w:pPr>
            <w:r w:rsidRPr="00890080">
              <w:rPr>
                <w:rFonts w:eastAsia="Times New Roman"/>
                <w:color w:val="000000"/>
                <w:sz w:val="22"/>
                <w:lang w:eastAsia="ja-JP"/>
              </w:rPr>
              <w:t>100%</w:t>
            </w:r>
          </w:p>
        </w:tc>
      </w:tr>
    </w:tbl>
    <w:p w:rsidR="00890080" w:rsidRDefault="00890080" w:rsidP="00890080"/>
    <w:p w:rsidR="00724B3C" w:rsidRPr="004B7258" w:rsidRDefault="00724B3C" w:rsidP="00890080"/>
    <w:p w:rsidR="004A13C3" w:rsidRDefault="004A13C3" w:rsidP="00EC1ADE">
      <w:pPr>
        <w:pStyle w:val="Titolo1"/>
        <w:numPr>
          <w:ilvl w:val="0"/>
          <w:numId w:val="22"/>
        </w:numPr>
        <w:ind w:left="450"/>
        <w:rPr>
          <w:b w:val="0"/>
          <w:szCs w:val="28"/>
        </w:rPr>
      </w:pPr>
      <w:r w:rsidRPr="00301B6D">
        <w:rPr>
          <w:szCs w:val="28"/>
        </w:rPr>
        <w:t>Conclusioni</w:t>
      </w:r>
      <w:r w:rsidR="00B61065" w:rsidRPr="00301B6D">
        <w:rPr>
          <w:szCs w:val="28"/>
        </w:rPr>
        <w:t xml:space="preserve">: </w:t>
      </w:r>
      <w:r w:rsidRPr="00301B6D">
        <w:rPr>
          <w:szCs w:val="28"/>
        </w:rPr>
        <w:t>“La famiglia soggetto di dialogo</w:t>
      </w:r>
      <w:r w:rsidRPr="00B61065">
        <w:rPr>
          <w:b w:val="0"/>
          <w:szCs w:val="28"/>
        </w:rPr>
        <w:t xml:space="preserve">” </w:t>
      </w:r>
    </w:p>
    <w:p w:rsidR="00B61065" w:rsidRPr="00B61065" w:rsidRDefault="00B61065" w:rsidP="00B61065">
      <w:r w:rsidRPr="006246B3">
        <w:t xml:space="preserve">La ricerca </w:t>
      </w:r>
      <w:r>
        <w:t xml:space="preserve">e i risultati conseguiti sono </w:t>
      </w:r>
      <w:r w:rsidRPr="006246B3">
        <w:t xml:space="preserve">di estremo interesse perché </w:t>
      </w:r>
      <w:r w:rsidR="00301B6D">
        <w:t xml:space="preserve">pongono </w:t>
      </w:r>
      <w:r w:rsidRPr="006246B3">
        <w:t xml:space="preserve">al centro la </w:t>
      </w:r>
      <w:r>
        <w:t>“</w:t>
      </w:r>
      <w:r w:rsidRPr="009322B6">
        <w:rPr>
          <w:b/>
        </w:rPr>
        <w:t>famiglia religiosamente plurale”,</w:t>
      </w:r>
      <w:r w:rsidRPr="006246B3">
        <w:t xml:space="preserve"> interreligiosa e interconfessionale. </w:t>
      </w:r>
      <w:r>
        <w:t>Questa affermazione c</w:t>
      </w:r>
      <w:r w:rsidRPr="006246B3">
        <w:t xml:space="preserve">i sembra legittima </w:t>
      </w:r>
      <w:r>
        <w:t xml:space="preserve">perché nasce con la consapevolezza </w:t>
      </w:r>
      <w:r w:rsidR="00F96A44">
        <w:t xml:space="preserve">dei coniugi </w:t>
      </w:r>
      <w:r>
        <w:t>di essere diversa fin dalla sua nascita; infatti e</w:t>
      </w:r>
      <w:r w:rsidRPr="006246B3">
        <w:t xml:space="preserve">ntrambi i </w:t>
      </w:r>
      <w:r>
        <w:t xml:space="preserve">coniugi </w:t>
      </w:r>
      <w:r w:rsidRPr="006246B3">
        <w:t>hanno</w:t>
      </w:r>
      <w:r>
        <w:t xml:space="preserve"> u</w:t>
      </w:r>
      <w:r w:rsidRPr="006246B3">
        <w:t>n’appartenenza religiosa che desiderano mantenere nel loro matrimonio, data la difficoltà (se non altro burocratica</w:t>
      </w:r>
      <w:r>
        <w:t>!</w:t>
      </w:r>
      <w:r w:rsidRPr="006246B3">
        <w:t xml:space="preserve">) che un matrimonio </w:t>
      </w:r>
      <w:r>
        <w:t>“</w:t>
      </w:r>
      <w:r w:rsidRPr="006246B3">
        <w:t>misto</w:t>
      </w:r>
      <w:r>
        <w:t>”</w:t>
      </w:r>
      <w:r w:rsidRPr="006246B3">
        <w:t xml:space="preserve"> comporta</w:t>
      </w:r>
      <w:r>
        <w:t>.</w:t>
      </w:r>
    </w:p>
    <w:p w:rsidR="004A13C3" w:rsidRDefault="00EC1ADE" w:rsidP="00DE533C">
      <w:pPr>
        <w:rPr>
          <w:b/>
          <w:sz w:val="32"/>
          <w:szCs w:val="32"/>
        </w:rPr>
      </w:pPr>
      <w:r>
        <w:t xml:space="preserve">Tale </w:t>
      </w:r>
      <w:r w:rsidRPr="006246B3">
        <w:t xml:space="preserve">aspetto </w:t>
      </w:r>
      <w:r>
        <w:t xml:space="preserve">cambia </w:t>
      </w:r>
      <w:r w:rsidRPr="006246B3">
        <w:t>le problematiche interne alla famiglia che vive in prima persona e nella quotidianità una relazione affettiva e culturale tra “diversi” o “diversamente credenti”.</w:t>
      </w:r>
      <w:r>
        <w:t xml:space="preserve"> Mi sembra che sia una </w:t>
      </w:r>
      <w:r w:rsidRPr="006246B3">
        <w:t>question</w:t>
      </w:r>
      <w:r>
        <w:t>e</w:t>
      </w:r>
      <w:r w:rsidRPr="006246B3">
        <w:t xml:space="preserve"> </w:t>
      </w:r>
      <w:r w:rsidR="00B61065">
        <w:t xml:space="preserve">ancora </w:t>
      </w:r>
      <w:r w:rsidRPr="006246B3">
        <w:t>da analizzare</w:t>
      </w:r>
      <w:r>
        <w:t xml:space="preserve"> e approfondire</w:t>
      </w:r>
      <w:r w:rsidRPr="006246B3">
        <w:t>, che indica un cambiamento culturale e religioso del tutto inedito</w:t>
      </w:r>
      <w:r>
        <w:t xml:space="preserve"> nel panorama del cattolicesimo italiano</w:t>
      </w:r>
      <w:r w:rsidRPr="006246B3">
        <w:t xml:space="preserve">.    </w:t>
      </w:r>
    </w:p>
    <w:sectPr w:rsidR="004A13C3" w:rsidSect="00C4772D">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104" w:rsidRDefault="00F01104" w:rsidP="006A754B">
      <w:pPr>
        <w:spacing w:line="240" w:lineRule="auto"/>
      </w:pPr>
      <w:r>
        <w:separator/>
      </w:r>
    </w:p>
  </w:endnote>
  <w:endnote w:type="continuationSeparator" w:id="0">
    <w:p w:rsidR="00F01104" w:rsidRDefault="00F01104" w:rsidP="006A75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Pidipagina"/>
      <w:jc w:val="center"/>
    </w:pPr>
    <w:r>
      <w:fldChar w:fldCharType="begin"/>
    </w:r>
    <w:r>
      <w:instrText>PAGE   \* MERGEFORMAT</w:instrText>
    </w:r>
    <w:r>
      <w:fldChar w:fldCharType="separate"/>
    </w:r>
    <w:r w:rsidR="00AE1FD5">
      <w:rPr>
        <w:noProof/>
      </w:rPr>
      <w:t>1</w:t>
    </w:r>
    <w:r>
      <w:rPr>
        <w:noProof/>
      </w:rPr>
      <w:fldChar w:fldCharType="end"/>
    </w:r>
  </w:p>
  <w:p w:rsidR="00252E78" w:rsidRDefault="00252E78">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104" w:rsidRDefault="00F01104" w:rsidP="006A754B">
      <w:pPr>
        <w:spacing w:line="240" w:lineRule="auto"/>
      </w:pPr>
      <w:r>
        <w:separator/>
      </w:r>
    </w:p>
  </w:footnote>
  <w:footnote w:type="continuationSeparator" w:id="0">
    <w:p w:rsidR="00F01104" w:rsidRDefault="00F01104" w:rsidP="006A754B">
      <w:pPr>
        <w:spacing w:line="240" w:lineRule="auto"/>
      </w:pPr>
      <w:r>
        <w:continuationSeparator/>
      </w:r>
    </w:p>
  </w:footnote>
  <w:footnote w:id="1">
    <w:p w:rsidR="00252E78" w:rsidRDefault="00252E78" w:rsidP="00A872D0">
      <w:pPr>
        <w:pStyle w:val="Testonotaapidipagina"/>
      </w:pPr>
      <w:r w:rsidRPr="00541D9A">
        <w:rPr>
          <w:rStyle w:val="Rimandonotaapidipagina"/>
        </w:rPr>
        <w:footnoteRef/>
      </w:r>
      <w:r w:rsidRPr="00541D9A">
        <w:t xml:space="preserve"> C. Chiara Canta è ordinaria di Sociologia dei Processi Culturale e della Religione nell’Università di Roma Tre.</w:t>
      </w:r>
      <w:r>
        <w:t xml:space="preserve"> </w:t>
      </w:r>
    </w:p>
  </w:footnote>
  <w:footnote w:id="2">
    <w:p w:rsidR="00252E78" w:rsidRDefault="00252E78" w:rsidP="00BF5E24">
      <w:pPr>
        <w:pStyle w:val="Testonotaapidipagina"/>
      </w:pPr>
      <w:r w:rsidRPr="00C863D0">
        <w:rPr>
          <w:rStyle w:val="Rimandonotaapidipagina"/>
        </w:rPr>
        <w:footnoteRef/>
      </w:r>
      <w:r w:rsidRPr="00C863D0">
        <w:t xml:space="preserve"> In alcuni casi si farà riferimento ad essi per un’analisi comparativa.</w:t>
      </w:r>
    </w:p>
  </w:footnote>
  <w:footnote w:id="3">
    <w:p w:rsidR="00252E78" w:rsidRDefault="00252E78" w:rsidP="00584083">
      <w:pPr>
        <w:pStyle w:val="Testonotaapidipagina"/>
      </w:pPr>
      <w:r>
        <w:rPr>
          <w:rStyle w:val="Rimandonotaapidipagina"/>
        </w:rPr>
        <w:footnoteRef/>
      </w:r>
      <w:r>
        <w:t xml:space="preserve"> La raccolta delle schede di rilevazione è stata abbastanza “laboriosa”. Alcune diocesi non hanno compilato la scheda con esattezza. Sono state perciò sollecitate a ri-compilarle e ri-compilarle. In conclusione, tale operazione è stata chiusa il 31dicemnbre 2012.    </w:t>
      </w:r>
    </w:p>
  </w:footnote>
  <w:footnote w:id="4">
    <w:p w:rsidR="00AF325F" w:rsidRDefault="00AF325F" w:rsidP="00AF325F">
      <w:pPr>
        <w:pStyle w:val="Testonotaapidipagina"/>
      </w:pPr>
      <w:r>
        <w:rPr>
          <w:rStyle w:val="Rimandonotaapidipagina"/>
        </w:rPr>
        <w:footnoteRef/>
      </w:r>
      <w:r>
        <w:t xml:space="preserve"> Si riportano solo i valori fino a 130 unità (2%).</w:t>
      </w:r>
    </w:p>
  </w:footnote>
  <w:footnote w:id="5">
    <w:p w:rsidR="00252E78" w:rsidRDefault="00252E78" w:rsidP="00494593">
      <w:pPr>
        <w:pStyle w:val="Testonotaapidipagina"/>
      </w:pPr>
      <w:r>
        <w:rPr>
          <w:rStyle w:val="Rimandonotaapidipagina"/>
        </w:rPr>
        <w:footnoteRef/>
      </w:r>
      <w:r>
        <w:t xml:space="preserve"> Nei matrimoni tra sposo italiano e sposa straniera le prime nazionalità sono: Romania, Ucraina, Tunisia, Polonia,      Federazione Russa, Moldova,  Marocco, Albania, Perù, ecc. (dati ISTAT 2008). </w:t>
      </w:r>
    </w:p>
    <w:p w:rsidR="00252E78" w:rsidRDefault="00252E78">
      <w:pPr>
        <w:pStyle w:val="Testonotaapidipagina"/>
      </w:pPr>
    </w:p>
  </w:footnote>
  <w:footnote w:id="6">
    <w:p w:rsidR="00252E78" w:rsidRDefault="00252E78" w:rsidP="003F0745">
      <w:pPr>
        <w:pStyle w:val="Testonotaapidipagina"/>
      </w:pPr>
      <w:r>
        <w:rPr>
          <w:rStyle w:val="Rimandonotaapidipagina"/>
        </w:rPr>
        <w:footnoteRef/>
      </w:r>
      <w:r>
        <w:t xml:space="preserve"> La “</w:t>
      </w:r>
      <w:r w:rsidRPr="005D131E">
        <w:rPr>
          <w:i/>
        </w:rPr>
        <w:t>dispensa</w:t>
      </w:r>
      <w:r>
        <w:t>” riguarda i matrimoni tra i cattolici e i non credenti o i credenti di altre religioni.</w:t>
      </w:r>
    </w:p>
    <w:p w:rsidR="00252E78" w:rsidRDefault="00252E78">
      <w:pPr>
        <w:pStyle w:val="Testonotaapidipagina"/>
      </w:pPr>
      <w:r>
        <w:t xml:space="preserve">  La </w:t>
      </w:r>
      <w:r w:rsidRPr="005D131E">
        <w:rPr>
          <w:i/>
        </w:rPr>
        <w:t>“licenza</w:t>
      </w:r>
      <w:r>
        <w:t xml:space="preserve">” riguarda il matrimonio tra i cattolici e credenti di altre confessioni cristiane. </w:t>
      </w:r>
    </w:p>
  </w:footnote>
  <w:footnote w:id="7">
    <w:p w:rsidR="00252E78" w:rsidRDefault="00252E78" w:rsidP="00CF0C5A">
      <w:pPr>
        <w:pStyle w:val="Testonotaapidipagina"/>
      </w:pPr>
      <w:r>
        <w:rPr>
          <w:rStyle w:val="Rimandonotaapidipagina"/>
        </w:rPr>
        <w:footnoteRef/>
      </w:r>
      <w:r>
        <w:t xml:space="preserve"> “</w:t>
      </w:r>
      <w:r w:rsidRPr="006E4929">
        <w:rPr>
          <w:i/>
        </w:rPr>
        <w:t>Abbandono formale della fede</w:t>
      </w:r>
      <w:r>
        <w:rPr>
          <w:i/>
        </w:rPr>
        <w:t xml:space="preserve"> cattolica</w:t>
      </w:r>
      <w:r>
        <w:t>”: in questo caso devono sussistere sia l’atto di volontà di non volere appartenere più alla Chiesa cattolica, sia la formalità dell’atto, che consiste nel compiere l’atto stesso o per iscritto o alla presenza di due testimoni (è richiesta la licenza) .</w:t>
      </w:r>
    </w:p>
    <w:p w:rsidR="00252E78" w:rsidRDefault="00252E78" w:rsidP="00CF0C5A">
      <w:pPr>
        <w:pStyle w:val="Testonotaapidipagina"/>
      </w:pPr>
      <w:r>
        <w:t>“</w:t>
      </w:r>
      <w:r w:rsidRPr="00961060">
        <w:rPr>
          <w:i/>
        </w:rPr>
        <w:t>Abbandono notorio della fede cattolica</w:t>
      </w:r>
      <w:r>
        <w:t xml:space="preserve">”: in questo caso devono sussistere l’abbandono della fede e la notorietà dell’atto, cioè la conoscenza da parte della comunità cattolica dell’atto (è richiesta la licenza).  </w:t>
      </w:r>
    </w:p>
  </w:footnote>
  <w:footnote w:id="8">
    <w:p w:rsidR="00252E78" w:rsidRPr="009C3E07" w:rsidRDefault="00252E78" w:rsidP="003615F7">
      <w:pPr>
        <w:pStyle w:val="Testonotaapidipagina"/>
        <w:rPr>
          <w:i/>
        </w:rPr>
      </w:pPr>
      <w:r>
        <w:rPr>
          <w:rStyle w:val="Rimandonotaapidipagina"/>
        </w:rPr>
        <w:footnoteRef/>
      </w:r>
      <w:r>
        <w:t xml:space="preserve"> Cfr. Cesareo e altri (1995), </w:t>
      </w:r>
      <w:r w:rsidRPr="009C3E07">
        <w:rPr>
          <w:i/>
        </w:rPr>
        <w:t>La religiosità in Italia</w:t>
      </w:r>
      <w:r>
        <w:t xml:space="preserve">; Canta, </w:t>
      </w:r>
      <w:r w:rsidRPr="009C3E07">
        <w:rPr>
          <w:i/>
        </w:rPr>
        <w:t>La religiosità in Sicilia</w:t>
      </w:r>
      <w:r>
        <w:t xml:space="preserve">, (1995); Garelli (2011), </w:t>
      </w:r>
      <w:r w:rsidRPr="009C3E07">
        <w:rPr>
          <w:i/>
        </w:rPr>
        <w:t xml:space="preserve">Una religione all’italiana.  </w:t>
      </w:r>
    </w:p>
  </w:footnote>
  <w:footnote w:id="9">
    <w:p w:rsidR="00697917" w:rsidRDefault="00697917" w:rsidP="00697917">
      <w:pPr>
        <w:pStyle w:val="Testonotaapidipagina"/>
      </w:pPr>
      <w:r>
        <w:rPr>
          <w:rStyle w:val="Rimandonotaapidipagina"/>
        </w:rPr>
        <w:footnoteRef/>
      </w:r>
      <w:r>
        <w:t xml:space="preserve"> Per questa tipologia si riportano i dati fino al 3%.</w:t>
      </w:r>
    </w:p>
  </w:footnote>
  <w:footnote w:id="10">
    <w:p w:rsidR="00252E78" w:rsidRDefault="00252E78">
      <w:pPr>
        <w:pStyle w:val="Testonotaapidipagina"/>
      </w:pPr>
      <w:r>
        <w:rPr>
          <w:rStyle w:val="Rimandonotaapidipagina"/>
        </w:rPr>
        <w:footnoteRef/>
      </w:r>
      <w:r>
        <w:t xml:space="preserve"> In questo contesto sono stati considerati solo i dati superiori a 78 unità.</w:t>
      </w:r>
    </w:p>
  </w:footnote>
  <w:footnote w:id="11">
    <w:p w:rsidR="00252E78" w:rsidRDefault="00252E78">
      <w:pPr>
        <w:pStyle w:val="Testonotaapidipagina"/>
      </w:pPr>
      <w:r>
        <w:rPr>
          <w:rStyle w:val="Rimandonotaapidipagina"/>
        </w:rPr>
        <w:footnoteRef/>
      </w:r>
      <w:r>
        <w:t xml:space="preserve"> Nell’analisi mancano 28 diocesi che non hanno compilato questa parte della scheda. Le percentuali sono fatte sul totale. In particolare l’analisi è limitata poiché mancano i dati della diocesi di Roma che è presente negli altri ambiti.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Intestazione"/>
      <w:jc w:val="center"/>
    </w:pPr>
    <w:r>
      <w:fldChar w:fldCharType="begin"/>
    </w:r>
    <w:r>
      <w:instrText>PAGE   \* MERGEFORMAT</w:instrText>
    </w:r>
    <w:r>
      <w:fldChar w:fldCharType="separate"/>
    </w:r>
    <w:r w:rsidR="00AE1FD5">
      <w:rPr>
        <w:noProof/>
      </w:rPr>
      <w:t>1</w:t>
    </w:r>
    <w:r>
      <w:rPr>
        <w:noProof/>
      </w:rPr>
      <w:fldChar w:fldCharType="end"/>
    </w:r>
  </w:p>
  <w:p w:rsidR="00252E78" w:rsidRDefault="00252E78">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E78" w:rsidRDefault="00252E7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70E"/>
    <w:multiLevelType w:val="hybridMultilevel"/>
    <w:tmpl w:val="BA700E18"/>
    <w:lvl w:ilvl="0" w:tplc="93AA57EE">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C22EFB"/>
    <w:multiLevelType w:val="hybridMultilevel"/>
    <w:tmpl w:val="246A5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EE93EFE"/>
    <w:multiLevelType w:val="hybridMultilevel"/>
    <w:tmpl w:val="9176E5A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nsid w:val="10F948AA"/>
    <w:multiLevelType w:val="multilevel"/>
    <w:tmpl w:val="DE227328"/>
    <w:lvl w:ilvl="0">
      <w:start w:val="1"/>
      <w:numFmt w:val="decimal"/>
      <w:lvlText w:val="%1."/>
      <w:lvlJc w:val="left"/>
      <w:pPr>
        <w:ind w:left="360" w:hanging="360"/>
      </w:p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137F2F73"/>
    <w:multiLevelType w:val="multilevel"/>
    <w:tmpl w:val="341A3CD6"/>
    <w:lvl w:ilvl="0">
      <w:start w:val="5"/>
      <w:numFmt w:val="decimal"/>
      <w:lvlText w:val="%1"/>
      <w:lvlJc w:val="left"/>
      <w:pPr>
        <w:ind w:left="405" w:hanging="40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D9A6556"/>
    <w:multiLevelType w:val="hybridMultilevel"/>
    <w:tmpl w:val="DEC4C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3A80C45"/>
    <w:multiLevelType w:val="multilevel"/>
    <w:tmpl w:val="80B8A182"/>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8C36E51"/>
    <w:multiLevelType w:val="hybridMultilevel"/>
    <w:tmpl w:val="D248C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D0F5C91"/>
    <w:multiLevelType w:val="multilevel"/>
    <w:tmpl w:val="EEF27A8E"/>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DC31D72"/>
    <w:multiLevelType w:val="hybridMultilevel"/>
    <w:tmpl w:val="93C803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3363395"/>
    <w:multiLevelType w:val="hybridMultilevel"/>
    <w:tmpl w:val="C63ECE4E"/>
    <w:lvl w:ilvl="0" w:tplc="5A46C546">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3740B21"/>
    <w:multiLevelType w:val="hybridMultilevel"/>
    <w:tmpl w:val="3E48B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68C2C01"/>
    <w:multiLevelType w:val="hybridMultilevel"/>
    <w:tmpl w:val="F8C05F88"/>
    <w:lvl w:ilvl="0" w:tplc="B80E6220">
      <w:start w:val="9"/>
      <w:numFmt w:val="decimal"/>
      <w:lvlText w:val="%1."/>
      <w:lvlJc w:val="left"/>
      <w:pPr>
        <w:ind w:left="810" w:hanging="360"/>
      </w:pPr>
      <w:rPr>
        <w:rFonts w:hint="default"/>
      </w:rPr>
    </w:lvl>
    <w:lvl w:ilvl="1" w:tplc="04100019" w:tentative="1">
      <w:start w:val="1"/>
      <w:numFmt w:val="lowerLetter"/>
      <w:lvlText w:val="%2."/>
      <w:lvlJc w:val="left"/>
      <w:pPr>
        <w:ind w:left="1530" w:hanging="360"/>
      </w:pPr>
    </w:lvl>
    <w:lvl w:ilvl="2" w:tplc="0410001B" w:tentative="1">
      <w:start w:val="1"/>
      <w:numFmt w:val="lowerRoman"/>
      <w:lvlText w:val="%3."/>
      <w:lvlJc w:val="right"/>
      <w:pPr>
        <w:ind w:left="2250" w:hanging="180"/>
      </w:pPr>
    </w:lvl>
    <w:lvl w:ilvl="3" w:tplc="0410000F" w:tentative="1">
      <w:start w:val="1"/>
      <w:numFmt w:val="decimal"/>
      <w:lvlText w:val="%4."/>
      <w:lvlJc w:val="left"/>
      <w:pPr>
        <w:ind w:left="2970" w:hanging="360"/>
      </w:pPr>
    </w:lvl>
    <w:lvl w:ilvl="4" w:tplc="04100019" w:tentative="1">
      <w:start w:val="1"/>
      <w:numFmt w:val="lowerLetter"/>
      <w:lvlText w:val="%5."/>
      <w:lvlJc w:val="left"/>
      <w:pPr>
        <w:ind w:left="3690" w:hanging="360"/>
      </w:pPr>
    </w:lvl>
    <w:lvl w:ilvl="5" w:tplc="0410001B" w:tentative="1">
      <w:start w:val="1"/>
      <w:numFmt w:val="lowerRoman"/>
      <w:lvlText w:val="%6."/>
      <w:lvlJc w:val="right"/>
      <w:pPr>
        <w:ind w:left="4410" w:hanging="180"/>
      </w:pPr>
    </w:lvl>
    <w:lvl w:ilvl="6" w:tplc="0410000F" w:tentative="1">
      <w:start w:val="1"/>
      <w:numFmt w:val="decimal"/>
      <w:lvlText w:val="%7."/>
      <w:lvlJc w:val="left"/>
      <w:pPr>
        <w:ind w:left="5130" w:hanging="360"/>
      </w:pPr>
    </w:lvl>
    <w:lvl w:ilvl="7" w:tplc="04100019" w:tentative="1">
      <w:start w:val="1"/>
      <w:numFmt w:val="lowerLetter"/>
      <w:lvlText w:val="%8."/>
      <w:lvlJc w:val="left"/>
      <w:pPr>
        <w:ind w:left="5850" w:hanging="360"/>
      </w:pPr>
    </w:lvl>
    <w:lvl w:ilvl="8" w:tplc="0410001B" w:tentative="1">
      <w:start w:val="1"/>
      <w:numFmt w:val="lowerRoman"/>
      <w:lvlText w:val="%9."/>
      <w:lvlJc w:val="right"/>
      <w:pPr>
        <w:ind w:left="6570" w:hanging="180"/>
      </w:pPr>
    </w:lvl>
  </w:abstractNum>
  <w:abstractNum w:abstractNumId="13">
    <w:nsid w:val="46D773F6"/>
    <w:multiLevelType w:val="hybridMultilevel"/>
    <w:tmpl w:val="DE168128"/>
    <w:lvl w:ilvl="0" w:tplc="F8CAF06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92B0120"/>
    <w:multiLevelType w:val="hybridMultilevel"/>
    <w:tmpl w:val="A26C72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3C30507"/>
    <w:multiLevelType w:val="multilevel"/>
    <w:tmpl w:val="2B7A3574"/>
    <w:lvl w:ilvl="0">
      <w:start w:val="5"/>
      <w:numFmt w:val="decimal"/>
      <w:lvlText w:val="%1."/>
      <w:lvlJc w:val="left"/>
      <w:pPr>
        <w:ind w:left="480" w:hanging="48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65343E63"/>
    <w:multiLevelType w:val="multilevel"/>
    <w:tmpl w:val="5A3045F6"/>
    <w:lvl w:ilvl="0">
      <w:start w:val="4"/>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8028DB"/>
    <w:multiLevelType w:val="multilevel"/>
    <w:tmpl w:val="22E8A074"/>
    <w:lvl w:ilvl="0">
      <w:start w:val="5"/>
      <w:numFmt w:val="decimal"/>
      <w:lvlText w:val="%1."/>
      <w:lvlJc w:val="left"/>
      <w:pPr>
        <w:ind w:left="480" w:hanging="480"/>
      </w:pPr>
      <w:rPr>
        <w:rFonts w:hint="default"/>
      </w:rPr>
    </w:lvl>
    <w:lvl w:ilvl="1">
      <w:start w:val="9"/>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760" w:hanging="2520"/>
      </w:pPr>
      <w:rPr>
        <w:rFonts w:hint="default"/>
      </w:rPr>
    </w:lvl>
  </w:abstractNum>
  <w:abstractNum w:abstractNumId="18">
    <w:nsid w:val="66494318"/>
    <w:multiLevelType w:val="hybridMultilevel"/>
    <w:tmpl w:val="514425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6F05E7B"/>
    <w:multiLevelType w:val="multilevel"/>
    <w:tmpl w:val="3110C3DE"/>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545237F"/>
    <w:multiLevelType w:val="multilevel"/>
    <w:tmpl w:val="EC841BB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D4231FF"/>
    <w:multiLevelType w:val="multilevel"/>
    <w:tmpl w:val="707E02A2"/>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3"/>
  </w:num>
  <w:num w:numId="3">
    <w:abstractNumId w:val="10"/>
  </w:num>
  <w:num w:numId="4">
    <w:abstractNumId w:val="13"/>
  </w:num>
  <w:num w:numId="5">
    <w:abstractNumId w:val="0"/>
  </w:num>
  <w:num w:numId="6">
    <w:abstractNumId w:val="8"/>
  </w:num>
  <w:num w:numId="7">
    <w:abstractNumId w:val="16"/>
  </w:num>
  <w:num w:numId="8">
    <w:abstractNumId w:val="6"/>
  </w:num>
  <w:num w:numId="9">
    <w:abstractNumId w:val="20"/>
  </w:num>
  <w:num w:numId="10">
    <w:abstractNumId w:val="5"/>
  </w:num>
  <w:num w:numId="11">
    <w:abstractNumId w:val="18"/>
  </w:num>
  <w:num w:numId="12">
    <w:abstractNumId w:val="7"/>
  </w:num>
  <w:num w:numId="13">
    <w:abstractNumId w:val="2"/>
  </w:num>
  <w:num w:numId="14">
    <w:abstractNumId w:val="9"/>
  </w:num>
  <w:num w:numId="15">
    <w:abstractNumId w:val="14"/>
  </w:num>
  <w:num w:numId="16">
    <w:abstractNumId w:val="1"/>
  </w:num>
  <w:num w:numId="17">
    <w:abstractNumId w:val="12"/>
  </w:num>
  <w:num w:numId="18">
    <w:abstractNumId w:val="21"/>
  </w:num>
  <w:num w:numId="19">
    <w:abstractNumId w:val="15"/>
  </w:num>
  <w:num w:numId="20">
    <w:abstractNumId w:val="4"/>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7E1"/>
    <w:rsid w:val="00001710"/>
    <w:rsid w:val="0000533A"/>
    <w:rsid w:val="00005C1B"/>
    <w:rsid w:val="000112CF"/>
    <w:rsid w:val="0001400A"/>
    <w:rsid w:val="0001470E"/>
    <w:rsid w:val="00022656"/>
    <w:rsid w:val="0002330D"/>
    <w:rsid w:val="00027082"/>
    <w:rsid w:val="000334F1"/>
    <w:rsid w:val="0003434B"/>
    <w:rsid w:val="00037B74"/>
    <w:rsid w:val="0004299F"/>
    <w:rsid w:val="000504FE"/>
    <w:rsid w:val="00053C94"/>
    <w:rsid w:val="00055F28"/>
    <w:rsid w:val="00056138"/>
    <w:rsid w:val="00056DE7"/>
    <w:rsid w:val="000654A8"/>
    <w:rsid w:val="00071684"/>
    <w:rsid w:val="00074BA3"/>
    <w:rsid w:val="0008285A"/>
    <w:rsid w:val="00084E13"/>
    <w:rsid w:val="000874E9"/>
    <w:rsid w:val="00092C65"/>
    <w:rsid w:val="000936F6"/>
    <w:rsid w:val="000A49BB"/>
    <w:rsid w:val="000A57DF"/>
    <w:rsid w:val="000A5A69"/>
    <w:rsid w:val="000A76AB"/>
    <w:rsid w:val="000B0BAC"/>
    <w:rsid w:val="000B27BC"/>
    <w:rsid w:val="000B4711"/>
    <w:rsid w:val="000B6466"/>
    <w:rsid w:val="000B6482"/>
    <w:rsid w:val="000B6814"/>
    <w:rsid w:val="000C19B4"/>
    <w:rsid w:val="000D1347"/>
    <w:rsid w:val="000D3077"/>
    <w:rsid w:val="000E0A65"/>
    <w:rsid w:val="000E41DF"/>
    <w:rsid w:val="000E623C"/>
    <w:rsid w:val="000F11E6"/>
    <w:rsid w:val="000F3E20"/>
    <w:rsid w:val="001004A8"/>
    <w:rsid w:val="00101940"/>
    <w:rsid w:val="00101C49"/>
    <w:rsid w:val="00110A7B"/>
    <w:rsid w:val="001229F2"/>
    <w:rsid w:val="00124EB8"/>
    <w:rsid w:val="00127B30"/>
    <w:rsid w:val="00127F7E"/>
    <w:rsid w:val="00130159"/>
    <w:rsid w:val="00131E84"/>
    <w:rsid w:val="00132452"/>
    <w:rsid w:val="00133711"/>
    <w:rsid w:val="00135891"/>
    <w:rsid w:val="00135994"/>
    <w:rsid w:val="00137788"/>
    <w:rsid w:val="001431AB"/>
    <w:rsid w:val="00146689"/>
    <w:rsid w:val="00152BF1"/>
    <w:rsid w:val="00153238"/>
    <w:rsid w:val="001543BA"/>
    <w:rsid w:val="00155608"/>
    <w:rsid w:val="00156862"/>
    <w:rsid w:val="00157BC0"/>
    <w:rsid w:val="001615FA"/>
    <w:rsid w:val="00161B68"/>
    <w:rsid w:val="00163CCA"/>
    <w:rsid w:val="001641E3"/>
    <w:rsid w:val="00166486"/>
    <w:rsid w:val="00166D4A"/>
    <w:rsid w:val="00170A1C"/>
    <w:rsid w:val="001806B0"/>
    <w:rsid w:val="001822CF"/>
    <w:rsid w:val="0018356F"/>
    <w:rsid w:val="00190BFD"/>
    <w:rsid w:val="001912CC"/>
    <w:rsid w:val="00192593"/>
    <w:rsid w:val="00192BF9"/>
    <w:rsid w:val="001A40A5"/>
    <w:rsid w:val="001A6664"/>
    <w:rsid w:val="001A6978"/>
    <w:rsid w:val="001A69E8"/>
    <w:rsid w:val="001B1774"/>
    <w:rsid w:val="001B492B"/>
    <w:rsid w:val="001B5AAD"/>
    <w:rsid w:val="001B5B78"/>
    <w:rsid w:val="001B5F5C"/>
    <w:rsid w:val="001B6673"/>
    <w:rsid w:val="001B7E31"/>
    <w:rsid w:val="001C4054"/>
    <w:rsid w:val="001E460C"/>
    <w:rsid w:val="001E626F"/>
    <w:rsid w:val="001F44C6"/>
    <w:rsid w:val="001F550D"/>
    <w:rsid w:val="00205902"/>
    <w:rsid w:val="002064D0"/>
    <w:rsid w:val="002128FA"/>
    <w:rsid w:val="00213609"/>
    <w:rsid w:val="00227FB2"/>
    <w:rsid w:val="0023339E"/>
    <w:rsid w:val="00236654"/>
    <w:rsid w:val="00241278"/>
    <w:rsid w:val="00252303"/>
    <w:rsid w:val="00252E78"/>
    <w:rsid w:val="0025672E"/>
    <w:rsid w:val="00257A2A"/>
    <w:rsid w:val="00260280"/>
    <w:rsid w:val="0026137C"/>
    <w:rsid w:val="002636C0"/>
    <w:rsid w:val="0027056A"/>
    <w:rsid w:val="00272435"/>
    <w:rsid w:val="00272E94"/>
    <w:rsid w:val="0027428D"/>
    <w:rsid w:val="00274AC8"/>
    <w:rsid w:val="00275D2D"/>
    <w:rsid w:val="002779BF"/>
    <w:rsid w:val="002779D0"/>
    <w:rsid w:val="002806D7"/>
    <w:rsid w:val="00285D02"/>
    <w:rsid w:val="00287A7E"/>
    <w:rsid w:val="00297884"/>
    <w:rsid w:val="002B12E7"/>
    <w:rsid w:val="002B31AF"/>
    <w:rsid w:val="002B4A5D"/>
    <w:rsid w:val="002C29B8"/>
    <w:rsid w:val="002C3074"/>
    <w:rsid w:val="002C7402"/>
    <w:rsid w:val="002D4D82"/>
    <w:rsid w:val="002E29F8"/>
    <w:rsid w:val="002E5AF4"/>
    <w:rsid w:val="002E623D"/>
    <w:rsid w:val="002F21D9"/>
    <w:rsid w:val="002F2D47"/>
    <w:rsid w:val="002F418A"/>
    <w:rsid w:val="002F6FE3"/>
    <w:rsid w:val="002F753C"/>
    <w:rsid w:val="00301B6D"/>
    <w:rsid w:val="00303390"/>
    <w:rsid w:val="00312C61"/>
    <w:rsid w:val="00313497"/>
    <w:rsid w:val="003141C3"/>
    <w:rsid w:val="00314F56"/>
    <w:rsid w:val="0032167B"/>
    <w:rsid w:val="003225AC"/>
    <w:rsid w:val="003227C3"/>
    <w:rsid w:val="003227E1"/>
    <w:rsid w:val="00322F01"/>
    <w:rsid w:val="00324D71"/>
    <w:rsid w:val="00325EFE"/>
    <w:rsid w:val="00330440"/>
    <w:rsid w:val="003304F7"/>
    <w:rsid w:val="00332FF2"/>
    <w:rsid w:val="00344BBA"/>
    <w:rsid w:val="003506F5"/>
    <w:rsid w:val="0035137A"/>
    <w:rsid w:val="0035279A"/>
    <w:rsid w:val="00354E92"/>
    <w:rsid w:val="003615F7"/>
    <w:rsid w:val="00363C45"/>
    <w:rsid w:val="00364760"/>
    <w:rsid w:val="00373838"/>
    <w:rsid w:val="003806AE"/>
    <w:rsid w:val="003827B5"/>
    <w:rsid w:val="003851AC"/>
    <w:rsid w:val="00385A13"/>
    <w:rsid w:val="00386A49"/>
    <w:rsid w:val="00387254"/>
    <w:rsid w:val="00387C1F"/>
    <w:rsid w:val="00396F5D"/>
    <w:rsid w:val="003A45F9"/>
    <w:rsid w:val="003A672E"/>
    <w:rsid w:val="003B6333"/>
    <w:rsid w:val="003B7F13"/>
    <w:rsid w:val="003C6D2E"/>
    <w:rsid w:val="003C7004"/>
    <w:rsid w:val="003E7FBB"/>
    <w:rsid w:val="003F0745"/>
    <w:rsid w:val="003F1B83"/>
    <w:rsid w:val="003F3051"/>
    <w:rsid w:val="003F5030"/>
    <w:rsid w:val="003F5FEA"/>
    <w:rsid w:val="00406B77"/>
    <w:rsid w:val="00416CBD"/>
    <w:rsid w:val="00421CDF"/>
    <w:rsid w:val="00422EBF"/>
    <w:rsid w:val="004259A4"/>
    <w:rsid w:val="00427CC6"/>
    <w:rsid w:val="00433BCF"/>
    <w:rsid w:val="004418CE"/>
    <w:rsid w:val="00441EF9"/>
    <w:rsid w:val="00444CCF"/>
    <w:rsid w:val="00450C88"/>
    <w:rsid w:val="00457D94"/>
    <w:rsid w:val="0048224C"/>
    <w:rsid w:val="00494593"/>
    <w:rsid w:val="0049481F"/>
    <w:rsid w:val="004A13C3"/>
    <w:rsid w:val="004B3960"/>
    <w:rsid w:val="004B69EF"/>
    <w:rsid w:val="004B7258"/>
    <w:rsid w:val="004C2763"/>
    <w:rsid w:val="004C3E4F"/>
    <w:rsid w:val="004C472F"/>
    <w:rsid w:val="004D5A8C"/>
    <w:rsid w:val="004E0C97"/>
    <w:rsid w:val="004E35D9"/>
    <w:rsid w:val="004E6F25"/>
    <w:rsid w:val="004F0507"/>
    <w:rsid w:val="004F27FF"/>
    <w:rsid w:val="004F3D2F"/>
    <w:rsid w:val="004F7ADC"/>
    <w:rsid w:val="00505450"/>
    <w:rsid w:val="00505D08"/>
    <w:rsid w:val="00507BF2"/>
    <w:rsid w:val="00512A92"/>
    <w:rsid w:val="005133A5"/>
    <w:rsid w:val="005145A3"/>
    <w:rsid w:val="0052186A"/>
    <w:rsid w:val="005255B2"/>
    <w:rsid w:val="00525B21"/>
    <w:rsid w:val="00530F8F"/>
    <w:rsid w:val="00541D9A"/>
    <w:rsid w:val="005474F1"/>
    <w:rsid w:val="0055116D"/>
    <w:rsid w:val="00554072"/>
    <w:rsid w:val="00554457"/>
    <w:rsid w:val="0055485A"/>
    <w:rsid w:val="00560654"/>
    <w:rsid w:val="005607F7"/>
    <w:rsid w:val="005624C3"/>
    <w:rsid w:val="0056254D"/>
    <w:rsid w:val="00565383"/>
    <w:rsid w:val="0057033A"/>
    <w:rsid w:val="005704F6"/>
    <w:rsid w:val="00574CE8"/>
    <w:rsid w:val="005755BB"/>
    <w:rsid w:val="00584083"/>
    <w:rsid w:val="00585144"/>
    <w:rsid w:val="00590CAB"/>
    <w:rsid w:val="00592259"/>
    <w:rsid w:val="005924DA"/>
    <w:rsid w:val="00597FE1"/>
    <w:rsid w:val="005A2510"/>
    <w:rsid w:val="005A5466"/>
    <w:rsid w:val="005A781C"/>
    <w:rsid w:val="005B62C7"/>
    <w:rsid w:val="005C013B"/>
    <w:rsid w:val="005D0F5F"/>
    <w:rsid w:val="005D131E"/>
    <w:rsid w:val="005E0CA0"/>
    <w:rsid w:val="005E0E4A"/>
    <w:rsid w:val="005E27D1"/>
    <w:rsid w:val="005E359C"/>
    <w:rsid w:val="005E3814"/>
    <w:rsid w:val="005E7CF8"/>
    <w:rsid w:val="005F2F02"/>
    <w:rsid w:val="005F6576"/>
    <w:rsid w:val="005F6BAB"/>
    <w:rsid w:val="0060537A"/>
    <w:rsid w:val="006067D1"/>
    <w:rsid w:val="0061091C"/>
    <w:rsid w:val="00611FEF"/>
    <w:rsid w:val="00613BA9"/>
    <w:rsid w:val="00622308"/>
    <w:rsid w:val="00623391"/>
    <w:rsid w:val="00625960"/>
    <w:rsid w:val="00634D25"/>
    <w:rsid w:val="006354A3"/>
    <w:rsid w:val="00636255"/>
    <w:rsid w:val="00642F4A"/>
    <w:rsid w:val="00646F51"/>
    <w:rsid w:val="006540FB"/>
    <w:rsid w:val="00660B3B"/>
    <w:rsid w:val="006618C9"/>
    <w:rsid w:val="006664EC"/>
    <w:rsid w:val="00676715"/>
    <w:rsid w:val="0068068E"/>
    <w:rsid w:val="00686AA6"/>
    <w:rsid w:val="006901E0"/>
    <w:rsid w:val="00692382"/>
    <w:rsid w:val="00693F5B"/>
    <w:rsid w:val="00694938"/>
    <w:rsid w:val="00697917"/>
    <w:rsid w:val="006A0E08"/>
    <w:rsid w:val="006A0E19"/>
    <w:rsid w:val="006A39A8"/>
    <w:rsid w:val="006A6EAB"/>
    <w:rsid w:val="006A754B"/>
    <w:rsid w:val="006B1E2B"/>
    <w:rsid w:val="006B4F4D"/>
    <w:rsid w:val="006B5B25"/>
    <w:rsid w:val="006C5643"/>
    <w:rsid w:val="006C5AE2"/>
    <w:rsid w:val="006D03D4"/>
    <w:rsid w:val="006D356E"/>
    <w:rsid w:val="006D4D36"/>
    <w:rsid w:val="006D5489"/>
    <w:rsid w:val="006E3E32"/>
    <w:rsid w:val="006E4929"/>
    <w:rsid w:val="006E6AD0"/>
    <w:rsid w:val="006E79B7"/>
    <w:rsid w:val="00704306"/>
    <w:rsid w:val="007053C2"/>
    <w:rsid w:val="00705DFD"/>
    <w:rsid w:val="00706DEE"/>
    <w:rsid w:val="0071016F"/>
    <w:rsid w:val="00710423"/>
    <w:rsid w:val="00717A35"/>
    <w:rsid w:val="007220A3"/>
    <w:rsid w:val="0072232F"/>
    <w:rsid w:val="007242EE"/>
    <w:rsid w:val="00724B3C"/>
    <w:rsid w:val="00724B63"/>
    <w:rsid w:val="00726888"/>
    <w:rsid w:val="007349B1"/>
    <w:rsid w:val="007432F6"/>
    <w:rsid w:val="00745440"/>
    <w:rsid w:val="0074562C"/>
    <w:rsid w:val="00746064"/>
    <w:rsid w:val="00754598"/>
    <w:rsid w:val="007549E6"/>
    <w:rsid w:val="007561A1"/>
    <w:rsid w:val="00761500"/>
    <w:rsid w:val="00766C10"/>
    <w:rsid w:val="00777E3C"/>
    <w:rsid w:val="00782AA7"/>
    <w:rsid w:val="0079116C"/>
    <w:rsid w:val="00792DE2"/>
    <w:rsid w:val="007A1D5F"/>
    <w:rsid w:val="007A3BB0"/>
    <w:rsid w:val="007A486F"/>
    <w:rsid w:val="007B2004"/>
    <w:rsid w:val="007B38F1"/>
    <w:rsid w:val="007B6660"/>
    <w:rsid w:val="007C059E"/>
    <w:rsid w:val="007C1A2D"/>
    <w:rsid w:val="007D5C27"/>
    <w:rsid w:val="007D7B93"/>
    <w:rsid w:val="007E0EFA"/>
    <w:rsid w:val="007E3BC9"/>
    <w:rsid w:val="007E605F"/>
    <w:rsid w:val="007E606E"/>
    <w:rsid w:val="007F023C"/>
    <w:rsid w:val="007F26FC"/>
    <w:rsid w:val="007F6B28"/>
    <w:rsid w:val="007F6D6F"/>
    <w:rsid w:val="007F7D2F"/>
    <w:rsid w:val="0080176A"/>
    <w:rsid w:val="00803015"/>
    <w:rsid w:val="00813715"/>
    <w:rsid w:val="00817A22"/>
    <w:rsid w:val="00822B8B"/>
    <w:rsid w:val="008236A0"/>
    <w:rsid w:val="00826433"/>
    <w:rsid w:val="00831203"/>
    <w:rsid w:val="00834CA8"/>
    <w:rsid w:val="0084127F"/>
    <w:rsid w:val="00842F26"/>
    <w:rsid w:val="00847EB5"/>
    <w:rsid w:val="00847FA0"/>
    <w:rsid w:val="00851397"/>
    <w:rsid w:val="00856943"/>
    <w:rsid w:val="00857A83"/>
    <w:rsid w:val="008629F9"/>
    <w:rsid w:val="0086380D"/>
    <w:rsid w:val="008704AA"/>
    <w:rsid w:val="008717A0"/>
    <w:rsid w:val="00871E91"/>
    <w:rsid w:val="008738FE"/>
    <w:rsid w:val="00873A70"/>
    <w:rsid w:val="00874962"/>
    <w:rsid w:val="00875554"/>
    <w:rsid w:val="00876A69"/>
    <w:rsid w:val="00883315"/>
    <w:rsid w:val="00883EBA"/>
    <w:rsid w:val="00890080"/>
    <w:rsid w:val="00891A7D"/>
    <w:rsid w:val="008935C5"/>
    <w:rsid w:val="008935FC"/>
    <w:rsid w:val="00893B95"/>
    <w:rsid w:val="008A2AF1"/>
    <w:rsid w:val="008A5A7F"/>
    <w:rsid w:val="008A781A"/>
    <w:rsid w:val="008B0D33"/>
    <w:rsid w:val="008B1386"/>
    <w:rsid w:val="008B363F"/>
    <w:rsid w:val="008B3B83"/>
    <w:rsid w:val="008B7C00"/>
    <w:rsid w:val="008C086C"/>
    <w:rsid w:val="008C1D91"/>
    <w:rsid w:val="008C382E"/>
    <w:rsid w:val="008C504B"/>
    <w:rsid w:val="008D1437"/>
    <w:rsid w:val="008D371D"/>
    <w:rsid w:val="008D4C8B"/>
    <w:rsid w:val="008F1813"/>
    <w:rsid w:val="008F546A"/>
    <w:rsid w:val="009008C3"/>
    <w:rsid w:val="009011DB"/>
    <w:rsid w:val="00902978"/>
    <w:rsid w:val="0090742C"/>
    <w:rsid w:val="00911B22"/>
    <w:rsid w:val="0091490F"/>
    <w:rsid w:val="009322B6"/>
    <w:rsid w:val="00933D9B"/>
    <w:rsid w:val="00942567"/>
    <w:rsid w:val="00944E32"/>
    <w:rsid w:val="00950513"/>
    <w:rsid w:val="00954B9E"/>
    <w:rsid w:val="00955A46"/>
    <w:rsid w:val="00956627"/>
    <w:rsid w:val="00957A56"/>
    <w:rsid w:val="00961060"/>
    <w:rsid w:val="00961C41"/>
    <w:rsid w:val="00961D67"/>
    <w:rsid w:val="00977939"/>
    <w:rsid w:val="00982DB8"/>
    <w:rsid w:val="00994FE7"/>
    <w:rsid w:val="009A388C"/>
    <w:rsid w:val="009B24B9"/>
    <w:rsid w:val="009B7D54"/>
    <w:rsid w:val="009C3E07"/>
    <w:rsid w:val="009C5F77"/>
    <w:rsid w:val="009D1658"/>
    <w:rsid w:val="009D6413"/>
    <w:rsid w:val="009E3A91"/>
    <w:rsid w:val="009E5677"/>
    <w:rsid w:val="00A07642"/>
    <w:rsid w:val="00A1001E"/>
    <w:rsid w:val="00A15741"/>
    <w:rsid w:val="00A17763"/>
    <w:rsid w:val="00A206D7"/>
    <w:rsid w:val="00A30D10"/>
    <w:rsid w:val="00A3189D"/>
    <w:rsid w:val="00A33419"/>
    <w:rsid w:val="00A348D6"/>
    <w:rsid w:val="00A470D8"/>
    <w:rsid w:val="00A47B58"/>
    <w:rsid w:val="00A5067B"/>
    <w:rsid w:val="00A51E84"/>
    <w:rsid w:val="00A543E1"/>
    <w:rsid w:val="00A55FB5"/>
    <w:rsid w:val="00A56369"/>
    <w:rsid w:val="00A60578"/>
    <w:rsid w:val="00A60706"/>
    <w:rsid w:val="00A76FD9"/>
    <w:rsid w:val="00A80024"/>
    <w:rsid w:val="00A83382"/>
    <w:rsid w:val="00A83DBF"/>
    <w:rsid w:val="00A870A0"/>
    <w:rsid w:val="00A872D0"/>
    <w:rsid w:val="00A87D1E"/>
    <w:rsid w:val="00A90CBD"/>
    <w:rsid w:val="00A94279"/>
    <w:rsid w:val="00A95B12"/>
    <w:rsid w:val="00AA00F9"/>
    <w:rsid w:val="00AA245A"/>
    <w:rsid w:val="00AA6B87"/>
    <w:rsid w:val="00AA7560"/>
    <w:rsid w:val="00AA7600"/>
    <w:rsid w:val="00AB30E3"/>
    <w:rsid w:val="00AB3796"/>
    <w:rsid w:val="00AB4173"/>
    <w:rsid w:val="00AC196E"/>
    <w:rsid w:val="00AC284B"/>
    <w:rsid w:val="00AC5FC0"/>
    <w:rsid w:val="00AD05BA"/>
    <w:rsid w:val="00AD1078"/>
    <w:rsid w:val="00AD270F"/>
    <w:rsid w:val="00AD38B4"/>
    <w:rsid w:val="00AD595F"/>
    <w:rsid w:val="00AD7196"/>
    <w:rsid w:val="00AE1F4E"/>
    <w:rsid w:val="00AE1FD5"/>
    <w:rsid w:val="00AE2EF4"/>
    <w:rsid w:val="00AE6ABC"/>
    <w:rsid w:val="00AF06BB"/>
    <w:rsid w:val="00AF325F"/>
    <w:rsid w:val="00B07DAB"/>
    <w:rsid w:val="00B12236"/>
    <w:rsid w:val="00B139F4"/>
    <w:rsid w:val="00B14414"/>
    <w:rsid w:val="00B24A66"/>
    <w:rsid w:val="00B2561D"/>
    <w:rsid w:val="00B272AD"/>
    <w:rsid w:val="00B27A62"/>
    <w:rsid w:val="00B27C70"/>
    <w:rsid w:val="00B325BC"/>
    <w:rsid w:val="00B422FD"/>
    <w:rsid w:val="00B55A97"/>
    <w:rsid w:val="00B61065"/>
    <w:rsid w:val="00B72BD7"/>
    <w:rsid w:val="00B7679F"/>
    <w:rsid w:val="00B84A1A"/>
    <w:rsid w:val="00B925DA"/>
    <w:rsid w:val="00B96151"/>
    <w:rsid w:val="00B96BC0"/>
    <w:rsid w:val="00BA774E"/>
    <w:rsid w:val="00BA7A21"/>
    <w:rsid w:val="00BA7ACD"/>
    <w:rsid w:val="00BB4861"/>
    <w:rsid w:val="00BB5371"/>
    <w:rsid w:val="00BB6DE4"/>
    <w:rsid w:val="00BB788A"/>
    <w:rsid w:val="00BB7B99"/>
    <w:rsid w:val="00BC2E4C"/>
    <w:rsid w:val="00BC347A"/>
    <w:rsid w:val="00BC4EE2"/>
    <w:rsid w:val="00BD0E24"/>
    <w:rsid w:val="00BD47EA"/>
    <w:rsid w:val="00BD6492"/>
    <w:rsid w:val="00BD7D35"/>
    <w:rsid w:val="00BE5B40"/>
    <w:rsid w:val="00BE78E8"/>
    <w:rsid w:val="00BF48F7"/>
    <w:rsid w:val="00BF5E24"/>
    <w:rsid w:val="00C125D3"/>
    <w:rsid w:val="00C1661E"/>
    <w:rsid w:val="00C1671F"/>
    <w:rsid w:val="00C173AC"/>
    <w:rsid w:val="00C20C27"/>
    <w:rsid w:val="00C24380"/>
    <w:rsid w:val="00C3039D"/>
    <w:rsid w:val="00C307BF"/>
    <w:rsid w:val="00C34D0D"/>
    <w:rsid w:val="00C467C5"/>
    <w:rsid w:val="00C4723B"/>
    <w:rsid w:val="00C4772D"/>
    <w:rsid w:val="00C50E13"/>
    <w:rsid w:val="00C60048"/>
    <w:rsid w:val="00C63736"/>
    <w:rsid w:val="00C63999"/>
    <w:rsid w:val="00C73B82"/>
    <w:rsid w:val="00C77F4D"/>
    <w:rsid w:val="00C841D4"/>
    <w:rsid w:val="00C863D0"/>
    <w:rsid w:val="00C86402"/>
    <w:rsid w:val="00C914D4"/>
    <w:rsid w:val="00C92CA1"/>
    <w:rsid w:val="00C92DF4"/>
    <w:rsid w:val="00C94536"/>
    <w:rsid w:val="00CA1809"/>
    <w:rsid w:val="00CA1AE7"/>
    <w:rsid w:val="00CA437C"/>
    <w:rsid w:val="00CA45AB"/>
    <w:rsid w:val="00CA4B6A"/>
    <w:rsid w:val="00CB1E2F"/>
    <w:rsid w:val="00CB23B9"/>
    <w:rsid w:val="00CB5E96"/>
    <w:rsid w:val="00CB71FD"/>
    <w:rsid w:val="00CC0354"/>
    <w:rsid w:val="00CD36E6"/>
    <w:rsid w:val="00CD3D08"/>
    <w:rsid w:val="00CD412C"/>
    <w:rsid w:val="00CD4980"/>
    <w:rsid w:val="00CF0342"/>
    <w:rsid w:val="00CF0C5A"/>
    <w:rsid w:val="00CF1C15"/>
    <w:rsid w:val="00CF21DE"/>
    <w:rsid w:val="00CF4C0F"/>
    <w:rsid w:val="00CF4E93"/>
    <w:rsid w:val="00CF670C"/>
    <w:rsid w:val="00D05202"/>
    <w:rsid w:val="00D066ED"/>
    <w:rsid w:val="00D06CE4"/>
    <w:rsid w:val="00D14D3E"/>
    <w:rsid w:val="00D23903"/>
    <w:rsid w:val="00D24B99"/>
    <w:rsid w:val="00D25058"/>
    <w:rsid w:val="00D2584C"/>
    <w:rsid w:val="00D31D50"/>
    <w:rsid w:val="00D354CB"/>
    <w:rsid w:val="00D402F9"/>
    <w:rsid w:val="00D41E82"/>
    <w:rsid w:val="00D430E9"/>
    <w:rsid w:val="00D4468E"/>
    <w:rsid w:val="00D45ACE"/>
    <w:rsid w:val="00D4696A"/>
    <w:rsid w:val="00D54EF7"/>
    <w:rsid w:val="00D56C27"/>
    <w:rsid w:val="00D629A1"/>
    <w:rsid w:val="00D673BB"/>
    <w:rsid w:val="00D74FBE"/>
    <w:rsid w:val="00D7570B"/>
    <w:rsid w:val="00D768DF"/>
    <w:rsid w:val="00D77C04"/>
    <w:rsid w:val="00D84402"/>
    <w:rsid w:val="00D87615"/>
    <w:rsid w:val="00D935B4"/>
    <w:rsid w:val="00D93E32"/>
    <w:rsid w:val="00D94690"/>
    <w:rsid w:val="00D94DD9"/>
    <w:rsid w:val="00D96ACA"/>
    <w:rsid w:val="00DA1888"/>
    <w:rsid w:val="00DA245B"/>
    <w:rsid w:val="00DB7602"/>
    <w:rsid w:val="00DC4F52"/>
    <w:rsid w:val="00DC5C6C"/>
    <w:rsid w:val="00DC65F0"/>
    <w:rsid w:val="00DC7D18"/>
    <w:rsid w:val="00DD3945"/>
    <w:rsid w:val="00DD40C7"/>
    <w:rsid w:val="00DE440B"/>
    <w:rsid w:val="00DE533C"/>
    <w:rsid w:val="00DE6C1C"/>
    <w:rsid w:val="00DF1CD8"/>
    <w:rsid w:val="00DF205F"/>
    <w:rsid w:val="00DF20E8"/>
    <w:rsid w:val="00E01534"/>
    <w:rsid w:val="00E01925"/>
    <w:rsid w:val="00E03437"/>
    <w:rsid w:val="00E119A4"/>
    <w:rsid w:val="00E158C5"/>
    <w:rsid w:val="00E24D76"/>
    <w:rsid w:val="00E3197B"/>
    <w:rsid w:val="00E34C28"/>
    <w:rsid w:val="00E34E0B"/>
    <w:rsid w:val="00E51C68"/>
    <w:rsid w:val="00E60FE8"/>
    <w:rsid w:val="00E67115"/>
    <w:rsid w:val="00E72284"/>
    <w:rsid w:val="00E85993"/>
    <w:rsid w:val="00E87985"/>
    <w:rsid w:val="00E9709C"/>
    <w:rsid w:val="00EA2955"/>
    <w:rsid w:val="00EA32BF"/>
    <w:rsid w:val="00EA443B"/>
    <w:rsid w:val="00EC12A7"/>
    <w:rsid w:val="00EC184E"/>
    <w:rsid w:val="00EC1ADE"/>
    <w:rsid w:val="00EC6761"/>
    <w:rsid w:val="00EC7B34"/>
    <w:rsid w:val="00ED3ACF"/>
    <w:rsid w:val="00ED3E8D"/>
    <w:rsid w:val="00ED465D"/>
    <w:rsid w:val="00ED7C66"/>
    <w:rsid w:val="00EE567A"/>
    <w:rsid w:val="00EF1E92"/>
    <w:rsid w:val="00EF3145"/>
    <w:rsid w:val="00EF4D39"/>
    <w:rsid w:val="00F01104"/>
    <w:rsid w:val="00F015E5"/>
    <w:rsid w:val="00F12E62"/>
    <w:rsid w:val="00F13C7E"/>
    <w:rsid w:val="00F13E34"/>
    <w:rsid w:val="00F13FE7"/>
    <w:rsid w:val="00F27089"/>
    <w:rsid w:val="00F362D7"/>
    <w:rsid w:val="00F3701D"/>
    <w:rsid w:val="00F40D5A"/>
    <w:rsid w:val="00F4161E"/>
    <w:rsid w:val="00F45880"/>
    <w:rsid w:val="00F50527"/>
    <w:rsid w:val="00F653D2"/>
    <w:rsid w:val="00F74086"/>
    <w:rsid w:val="00F744E8"/>
    <w:rsid w:val="00F74892"/>
    <w:rsid w:val="00F7555C"/>
    <w:rsid w:val="00F76466"/>
    <w:rsid w:val="00F76B04"/>
    <w:rsid w:val="00F80AD9"/>
    <w:rsid w:val="00F865D6"/>
    <w:rsid w:val="00F90EF8"/>
    <w:rsid w:val="00F91441"/>
    <w:rsid w:val="00F91B8B"/>
    <w:rsid w:val="00F96A44"/>
    <w:rsid w:val="00FA0389"/>
    <w:rsid w:val="00FA2035"/>
    <w:rsid w:val="00FA70ED"/>
    <w:rsid w:val="00FB7609"/>
    <w:rsid w:val="00FC1CA8"/>
    <w:rsid w:val="00FD2B96"/>
    <w:rsid w:val="00FD4C94"/>
    <w:rsid w:val="00FE0241"/>
    <w:rsid w:val="00FE1BB5"/>
    <w:rsid w:val="00FE2036"/>
    <w:rsid w:val="00FE40A7"/>
    <w:rsid w:val="00FE43B9"/>
    <w:rsid w:val="00FE51E3"/>
    <w:rsid w:val="00FE7FA9"/>
    <w:rsid w:val="00FF1910"/>
    <w:rsid w:val="00FF1EB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mio"/>
    <w:qFormat/>
    <w:rsid w:val="00893B95"/>
    <w:pPr>
      <w:spacing w:line="360" w:lineRule="auto"/>
      <w:jc w:val="both"/>
    </w:pPr>
    <w:rPr>
      <w:sz w:val="24"/>
      <w:szCs w:val="22"/>
      <w:lang w:eastAsia="en-US"/>
    </w:rPr>
  </w:style>
  <w:style w:type="paragraph" w:styleId="Titolo1">
    <w:name w:val="heading 1"/>
    <w:aliases w:val="Titolo 1mio"/>
    <w:basedOn w:val="Normale"/>
    <w:next w:val="Normale"/>
    <w:link w:val="Titolo1Carattere"/>
    <w:uiPriority w:val="9"/>
    <w:qFormat/>
    <w:rsid w:val="003A45F9"/>
    <w:pPr>
      <w:keepNext/>
      <w:outlineLvl w:val="0"/>
    </w:pPr>
    <w:rPr>
      <w:rFonts w:eastAsia="Times New Roman"/>
      <w:b/>
      <w:bCs/>
      <w:kern w:val="32"/>
      <w:sz w:val="28"/>
      <w:szCs w:val="32"/>
      <w:u w:val="single"/>
    </w:rPr>
  </w:style>
  <w:style w:type="paragraph" w:styleId="Titolo2">
    <w:name w:val="heading 2"/>
    <w:aliases w:val="Titolo 2mio"/>
    <w:basedOn w:val="Normale"/>
    <w:next w:val="Normale"/>
    <w:link w:val="Titolo2Carattere"/>
    <w:uiPriority w:val="9"/>
    <w:unhideWhenUsed/>
    <w:qFormat/>
    <w:rsid w:val="003A45F9"/>
    <w:pPr>
      <w:keepNext/>
      <w:keepLines/>
      <w:outlineLvl w:val="1"/>
    </w:pPr>
    <w:rPr>
      <w:rFonts w:eastAsia="MS Gothic"/>
      <w:bCs/>
      <w:sz w:val="28"/>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A754B"/>
    <w:rPr>
      <w:sz w:val="20"/>
      <w:szCs w:val="20"/>
    </w:rPr>
  </w:style>
  <w:style w:type="character" w:customStyle="1" w:styleId="TestonotaapidipaginaCarattere">
    <w:name w:val="Testo nota a piè di pagina Carattere"/>
    <w:link w:val="Testonotaapidipagina"/>
    <w:uiPriority w:val="99"/>
    <w:semiHidden/>
    <w:rsid w:val="006A754B"/>
    <w:rPr>
      <w:lang w:eastAsia="en-US"/>
    </w:rPr>
  </w:style>
  <w:style w:type="character" w:styleId="Rimandonotaapidipagina">
    <w:name w:val="footnote reference"/>
    <w:uiPriority w:val="99"/>
    <w:semiHidden/>
    <w:unhideWhenUsed/>
    <w:rsid w:val="006A754B"/>
    <w:rPr>
      <w:vertAlign w:val="superscript"/>
    </w:rPr>
  </w:style>
  <w:style w:type="paragraph" w:styleId="Nessunaspaziatura">
    <w:name w:val="No Spacing"/>
    <w:uiPriority w:val="1"/>
    <w:qFormat/>
    <w:rsid w:val="00A30D10"/>
    <w:rPr>
      <w:sz w:val="22"/>
      <w:szCs w:val="22"/>
      <w:lang w:eastAsia="en-US"/>
    </w:rPr>
  </w:style>
  <w:style w:type="character" w:customStyle="1" w:styleId="Titolo1Carattere">
    <w:name w:val="Titolo 1 Carattere"/>
    <w:aliases w:val="Titolo 1mio Carattere"/>
    <w:link w:val="Titolo1"/>
    <w:uiPriority w:val="9"/>
    <w:rsid w:val="003A45F9"/>
    <w:rPr>
      <w:rFonts w:ascii="Calibri" w:eastAsia="Times New Roman" w:hAnsi="Calibri"/>
      <w:b/>
      <w:bCs/>
      <w:kern w:val="32"/>
      <w:sz w:val="28"/>
      <w:szCs w:val="32"/>
      <w:u w:val="single"/>
      <w:lang w:eastAsia="en-US"/>
    </w:rPr>
  </w:style>
  <w:style w:type="paragraph" w:styleId="Intestazione">
    <w:name w:val="header"/>
    <w:basedOn w:val="Normale"/>
    <w:link w:val="IntestazioneCarattere"/>
    <w:uiPriority w:val="99"/>
    <w:unhideWhenUsed/>
    <w:rsid w:val="00BA7A21"/>
    <w:pPr>
      <w:tabs>
        <w:tab w:val="center" w:pos="4819"/>
        <w:tab w:val="right" w:pos="9638"/>
      </w:tabs>
    </w:pPr>
  </w:style>
  <w:style w:type="character" w:customStyle="1" w:styleId="IntestazioneCarattere">
    <w:name w:val="Intestazione Carattere"/>
    <w:link w:val="Intestazione"/>
    <w:uiPriority w:val="99"/>
    <w:rsid w:val="00BA7A21"/>
    <w:rPr>
      <w:sz w:val="22"/>
      <w:szCs w:val="22"/>
      <w:lang w:eastAsia="en-US"/>
    </w:rPr>
  </w:style>
  <w:style w:type="paragraph" w:styleId="Pidipagina">
    <w:name w:val="footer"/>
    <w:basedOn w:val="Normale"/>
    <w:link w:val="PidipaginaCarattere"/>
    <w:uiPriority w:val="99"/>
    <w:unhideWhenUsed/>
    <w:rsid w:val="00BA7A21"/>
    <w:pPr>
      <w:tabs>
        <w:tab w:val="center" w:pos="4819"/>
        <w:tab w:val="right" w:pos="9638"/>
      </w:tabs>
    </w:pPr>
  </w:style>
  <w:style w:type="character" w:customStyle="1" w:styleId="PidipaginaCarattere">
    <w:name w:val="Piè di pagina Carattere"/>
    <w:link w:val="Pidipagina"/>
    <w:uiPriority w:val="99"/>
    <w:rsid w:val="00BA7A21"/>
    <w:rPr>
      <w:sz w:val="22"/>
      <w:szCs w:val="22"/>
      <w:lang w:eastAsia="en-US"/>
    </w:rPr>
  </w:style>
  <w:style w:type="paragraph" w:styleId="Paragrafoelenco">
    <w:name w:val="List Paragraph"/>
    <w:basedOn w:val="Normale"/>
    <w:uiPriority w:val="34"/>
    <w:qFormat/>
    <w:rsid w:val="000F3E20"/>
    <w:pPr>
      <w:ind w:left="720"/>
      <w:contextualSpacing/>
    </w:pPr>
  </w:style>
  <w:style w:type="table" w:styleId="Grigliatabella">
    <w:name w:val="Table Grid"/>
    <w:basedOn w:val="Tabellanormale"/>
    <w:uiPriority w:val="59"/>
    <w:rsid w:val="00FE7FA9"/>
    <w:rPr>
      <w:rFonts w:eastAsia="MS Mincho"/>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295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A2955"/>
    <w:rPr>
      <w:rFonts w:ascii="Tahoma" w:hAnsi="Tahoma" w:cs="Tahoma"/>
      <w:sz w:val="16"/>
      <w:szCs w:val="16"/>
      <w:lang w:eastAsia="en-US"/>
    </w:rPr>
  </w:style>
  <w:style w:type="character" w:customStyle="1" w:styleId="Titolo2Carattere">
    <w:name w:val="Titolo 2 Carattere"/>
    <w:aliases w:val="Titolo 2mio Carattere"/>
    <w:link w:val="Titolo2"/>
    <w:uiPriority w:val="9"/>
    <w:rsid w:val="003A45F9"/>
    <w:rPr>
      <w:rFonts w:ascii="Calibri" w:eastAsia="MS Gothic" w:hAnsi="Calibri" w:cs="Times New Roman"/>
      <w:bCs/>
      <w:sz w:val="28"/>
      <w:szCs w:val="26"/>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Normale mio"/>
    <w:qFormat/>
    <w:rsid w:val="00893B95"/>
    <w:pPr>
      <w:spacing w:line="360" w:lineRule="auto"/>
      <w:jc w:val="both"/>
    </w:pPr>
    <w:rPr>
      <w:sz w:val="24"/>
      <w:szCs w:val="22"/>
      <w:lang w:eastAsia="en-US"/>
    </w:rPr>
  </w:style>
  <w:style w:type="paragraph" w:styleId="Titolo1">
    <w:name w:val="heading 1"/>
    <w:aliases w:val="Titolo 1mio"/>
    <w:basedOn w:val="Normale"/>
    <w:next w:val="Normale"/>
    <w:link w:val="Titolo1Carattere"/>
    <w:uiPriority w:val="9"/>
    <w:qFormat/>
    <w:rsid w:val="003A45F9"/>
    <w:pPr>
      <w:keepNext/>
      <w:outlineLvl w:val="0"/>
    </w:pPr>
    <w:rPr>
      <w:rFonts w:eastAsia="Times New Roman"/>
      <w:b/>
      <w:bCs/>
      <w:kern w:val="32"/>
      <w:sz w:val="28"/>
      <w:szCs w:val="32"/>
      <w:u w:val="single"/>
    </w:rPr>
  </w:style>
  <w:style w:type="paragraph" w:styleId="Titolo2">
    <w:name w:val="heading 2"/>
    <w:aliases w:val="Titolo 2mio"/>
    <w:basedOn w:val="Normale"/>
    <w:next w:val="Normale"/>
    <w:link w:val="Titolo2Carattere"/>
    <w:uiPriority w:val="9"/>
    <w:unhideWhenUsed/>
    <w:qFormat/>
    <w:rsid w:val="003A45F9"/>
    <w:pPr>
      <w:keepNext/>
      <w:keepLines/>
      <w:outlineLvl w:val="1"/>
    </w:pPr>
    <w:rPr>
      <w:rFonts w:eastAsia="MS Gothic"/>
      <w:bCs/>
      <w:sz w:val="28"/>
      <w:szCs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6A754B"/>
    <w:rPr>
      <w:sz w:val="20"/>
      <w:szCs w:val="20"/>
    </w:rPr>
  </w:style>
  <w:style w:type="character" w:customStyle="1" w:styleId="TestonotaapidipaginaCarattere">
    <w:name w:val="Testo nota a piè di pagina Carattere"/>
    <w:link w:val="Testonotaapidipagina"/>
    <w:uiPriority w:val="99"/>
    <w:semiHidden/>
    <w:rsid w:val="006A754B"/>
    <w:rPr>
      <w:lang w:eastAsia="en-US"/>
    </w:rPr>
  </w:style>
  <w:style w:type="character" w:styleId="Rimandonotaapidipagina">
    <w:name w:val="footnote reference"/>
    <w:uiPriority w:val="99"/>
    <w:semiHidden/>
    <w:unhideWhenUsed/>
    <w:rsid w:val="006A754B"/>
    <w:rPr>
      <w:vertAlign w:val="superscript"/>
    </w:rPr>
  </w:style>
  <w:style w:type="paragraph" w:styleId="Nessunaspaziatura">
    <w:name w:val="No Spacing"/>
    <w:uiPriority w:val="1"/>
    <w:qFormat/>
    <w:rsid w:val="00A30D10"/>
    <w:rPr>
      <w:sz w:val="22"/>
      <w:szCs w:val="22"/>
      <w:lang w:eastAsia="en-US"/>
    </w:rPr>
  </w:style>
  <w:style w:type="character" w:customStyle="1" w:styleId="Titolo1Carattere">
    <w:name w:val="Titolo 1 Carattere"/>
    <w:aliases w:val="Titolo 1mio Carattere"/>
    <w:link w:val="Titolo1"/>
    <w:uiPriority w:val="9"/>
    <w:rsid w:val="003A45F9"/>
    <w:rPr>
      <w:rFonts w:ascii="Calibri" w:eastAsia="Times New Roman" w:hAnsi="Calibri"/>
      <w:b/>
      <w:bCs/>
      <w:kern w:val="32"/>
      <w:sz w:val="28"/>
      <w:szCs w:val="32"/>
      <w:u w:val="single"/>
      <w:lang w:eastAsia="en-US"/>
    </w:rPr>
  </w:style>
  <w:style w:type="paragraph" w:styleId="Intestazione">
    <w:name w:val="header"/>
    <w:basedOn w:val="Normale"/>
    <w:link w:val="IntestazioneCarattere"/>
    <w:uiPriority w:val="99"/>
    <w:unhideWhenUsed/>
    <w:rsid w:val="00BA7A21"/>
    <w:pPr>
      <w:tabs>
        <w:tab w:val="center" w:pos="4819"/>
        <w:tab w:val="right" w:pos="9638"/>
      </w:tabs>
    </w:pPr>
  </w:style>
  <w:style w:type="character" w:customStyle="1" w:styleId="IntestazioneCarattere">
    <w:name w:val="Intestazione Carattere"/>
    <w:link w:val="Intestazione"/>
    <w:uiPriority w:val="99"/>
    <w:rsid w:val="00BA7A21"/>
    <w:rPr>
      <w:sz w:val="22"/>
      <w:szCs w:val="22"/>
      <w:lang w:eastAsia="en-US"/>
    </w:rPr>
  </w:style>
  <w:style w:type="paragraph" w:styleId="Pidipagina">
    <w:name w:val="footer"/>
    <w:basedOn w:val="Normale"/>
    <w:link w:val="PidipaginaCarattere"/>
    <w:uiPriority w:val="99"/>
    <w:unhideWhenUsed/>
    <w:rsid w:val="00BA7A21"/>
    <w:pPr>
      <w:tabs>
        <w:tab w:val="center" w:pos="4819"/>
        <w:tab w:val="right" w:pos="9638"/>
      </w:tabs>
    </w:pPr>
  </w:style>
  <w:style w:type="character" w:customStyle="1" w:styleId="PidipaginaCarattere">
    <w:name w:val="Piè di pagina Carattere"/>
    <w:link w:val="Pidipagina"/>
    <w:uiPriority w:val="99"/>
    <w:rsid w:val="00BA7A21"/>
    <w:rPr>
      <w:sz w:val="22"/>
      <w:szCs w:val="22"/>
      <w:lang w:eastAsia="en-US"/>
    </w:rPr>
  </w:style>
  <w:style w:type="paragraph" w:styleId="Paragrafoelenco">
    <w:name w:val="List Paragraph"/>
    <w:basedOn w:val="Normale"/>
    <w:uiPriority w:val="34"/>
    <w:qFormat/>
    <w:rsid w:val="000F3E20"/>
    <w:pPr>
      <w:ind w:left="720"/>
      <w:contextualSpacing/>
    </w:pPr>
  </w:style>
  <w:style w:type="table" w:styleId="Grigliatabella">
    <w:name w:val="Table Grid"/>
    <w:basedOn w:val="Tabellanormale"/>
    <w:uiPriority w:val="59"/>
    <w:rsid w:val="00FE7FA9"/>
    <w:rPr>
      <w:rFonts w:eastAsia="MS Mincho"/>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EA295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A2955"/>
    <w:rPr>
      <w:rFonts w:ascii="Tahoma" w:hAnsi="Tahoma" w:cs="Tahoma"/>
      <w:sz w:val="16"/>
      <w:szCs w:val="16"/>
      <w:lang w:eastAsia="en-US"/>
    </w:rPr>
  </w:style>
  <w:style w:type="character" w:customStyle="1" w:styleId="Titolo2Carattere">
    <w:name w:val="Titolo 2 Carattere"/>
    <w:aliases w:val="Titolo 2mio Carattere"/>
    <w:link w:val="Titolo2"/>
    <w:uiPriority w:val="9"/>
    <w:rsid w:val="003A45F9"/>
    <w:rPr>
      <w:rFonts w:ascii="Calibri" w:eastAsia="MS Gothic" w:hAnsi="Calibri" w:cs="Times New Roman"/>
      <w:bCs/>
      <w:sz w:val="28"/>
      <w:szCs w:val="26"/>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938">
      <w:bodyDiv w:val="1"/>
      <w:marLeft w:val="0"/>
      <w:marRight w:val="0"/>
      <w:marTop w:val="0"/>
      <w:marBottom w:val="0"/>
      <w:divBdr>
        <w:top w:val="none" w:sz="0" w:space="0" w:color="auto"/>
        <w:left w:val="none" w:sz="0" w:space="0" w:color="auto"/>
        <w:bottom w:val="none" w:sz="0" w:space="0" w:color="auto"/>
        <w:right w:val="none" w:sz="0" w:space="0" w:color="auto"/>
      </w:divBdr>
    </w:div>
    <w:div w:id="21636362">
      <w:bodyDiv w:val="1"/>
      <w:marLeft w:val="0"/>
      <w:marRight w:val="0"/>
      <w:marTop w:val="0"/>
      <w:marBottom w:val="0"/>
      <w:divBdr>
        <w:top w:val="none" w:sz="0" w:space="0" w:color="auto"/>
        <w:left w:val="none" w:sz="0" w:space="0" w:color="auto"/>
        <w:bottom w:val="none" w:sz="0" w:space="0" w:color="auto"/>
        <w:right w:val="none" w:sz="0" w:space="0" w:color="auto"/>
      </w:divBdr>
    </w:div>
    <w:div w:id="41177556">
      <w:bodyDiv w:val="1"/>
      <w:marLeft w:val="0"/>
      <w:marRight w:val="0"/>
      <w:marTop w:val="0"/>
      <w:marBottom w:val="0"/>
      <w:divBdr>
        <w:top w:val="none" w:sz="0" w:space="0" w:color="auto"/>
        <w:left w:val="none" w:sz="0" w:space="0" w:color="auto"/>
        <w:bottom w:val="none" w:sz="0" w:space="0" w:color="auto"/>
        <w:right w:val="none" w:sz="0" w:space="0" w:color="auto"/>
      </w:divBdr>
    </w:div>
    <w:div w:id="96679713">
      <w:bodyDiv w:val="1"/>
      <w:marLeft w:val="0"/>
      <w:marRight w:val="0"/>
      <w:marTop w:val="0"/>
      <w:marBottom w:val="0"/>
      <w:divBdr>
        <w:top w:val="none" w:sz="0" w:space="0" w:color="auto"/>
        <w:left w:val="none" w:sz="0" w:space="0" w:color="auto"/>
        <w:bottom w:val="none" w:sz="0" w:space="0" w:color="auto"/>
        <w:right w:val="none" w:sz="0" w:space="0" w:color="auto"/>
      </w:divBdr>
    </w:div>
    <w:div w:id="96800385">
      <w:bodyDiv w:val="1"/>
      <w:marLeft w:val="0"/>
      <w:marRight w:val="0"/>
      <w:marTop w:val="0"/>
      <w:marBottom w:val="0"/>
      <w:divBdr>
        <w:top w:val="none" w:sz="0" w:space="0" w:color="auto"/>
        <w:left w:val="none" w:sz="0" w:space="0" w:color="auto"/>
        <w:bottom w:val="none" w:sz="0" w:space="0" w:color="auto"/>
        <w:right w:val="none" w:sz="0" w:space="0" w:color="auto"/>
      </w:divBdr>
    </w:div>
    <w:div w:id="194196613">
      <w:bodyDiv w:val="1"/>
      <w:marLeft w:val="0"/>
      <w:marRight w:val="0"/>
      <w:marTop w:val="0"/>
      <w:marBottom w:val="0"/>
      <w:divBdr>
        <w:top w:val="none" w:sz="0" w:space="0" w:color="auto"/>
        <w:left w:val="none" w:sz="0" w:space="0" w:color="auto"/>
        <w:bottom w:val="none" w:sz="0" w:space="0" w:color="auto"/>
        <w:right w:val="none" w:sz="0" w:space="0" w:color="auto"/>
      </w:divBdr>
    </w:div>
    <w:div w:id="196893301">
      <w:bodyDiv w:val="1"/>
      <w:marLeft w:val="0"/>
      <w:marRight w:val="0"/>
      <w:marTop w:val="0"/>
      <w:marBottom w:val="0"/>
      <w:divBdr>
        <w:top w:val="none" w:sz="0" w:space="0" w:color="auto"/>
        <w:left w:val="none" w:sz="0" w:space="0" w:color="auto"/>
        <w:bottom w:val="none" w:sz="0" w:space="0" w:color="auto"/>
        <w:right w:val="none" w:sz="0" w:space="0" w:color="auto"/>
      </w:divBdr>
    </w:div>
    <w:div w:id="232931145">
      <w:bodyDiv w:val="1"/>
      <w:marLeft w:val="0"/>
      <w:marRight w:val="0"/>
      <w:marTop w:val="0"/>
      <w:marBottom w:val="0"/>
      <w:divBdr>
        <w:top w:val="none" w:sz="0" w:space="0" w:color="auto"/>
        <w:left w:val="none" w:sz="0" w:space="0" w:color="auto"/>
        <w:bottom w:val="none" w:sz="0" w:space="0" w:color="auto"/>
        <w:right w:val="none" w:sz="0" w:space="0" w:color="auto"/>
      </w:divBdr>
    </w:div>
    <w:div w:id="265772887">
      <w:bodyDiv w:val="1"/>
      <w:marLeft w:val="0"/>
      <w:marRight w:val="0"/>
      <w:marTop w:val="0"/>
      <w:marBottom w:val="0"/>
      <w:divBdr>
        <w:top w:val="none" w:sz="0" w:space="0" w:color="auto"/>
        <w:left w:val="none" w:sz="0" w:space="0" w:color="auto"/>
        <w:bottom w:val="none" w:sz="0" w:space="0" w:color="auto"/>
        <w:right w:val="none" w:sz="0" w:space="0" w:color="auto"/>
      </w:divBdr>
    </w:div>
    <w:div w:id="266159500">
      <w:bodyDiv w:val="1"/>
      <w:marLeft w:val="0"/>
      <w:marRight w:val="0"/>
      <w:marTop w:val="0"/>
      <w:marBottom w:val="0"/>
      <w:divBdr>
        <w:top w:val="none" w:sz="0" w:space="0" w:color="auto"/>
        <w:left w:val="none" w:sz="0" w:space="0" w:color="auto"/>
        <w:bottom w:val="none" w:sz="0" w:space="0" w:color="auto"/>
        <w:right w:val="none" w:sz="0" w:space="0" w:color="auto"/>
      </w:divBdr>
    </w:div>
    <w:div w:id="285814215">
      <w:bodyDiv w:val="1"/>
      <w:marLeft w:val="0"/>
      <w:marRight w:val="0"/>
      <w:marTop w:val="0"/>
      <w:marBottom w:val="0"/>
      <w:divBdr>
        <w:top w:val="none" w:sz="0" w:space="0" w:color="auto"/>
        <w:left w:val="none" w:sz="0" w:space="0" w:color="auto"/>
        <w:bottom w:val="none" w:sz="0" w:space="0" w:color="auto"/>
        <w:right w:val="none" w:sz="0" w:space="0" w:color="auto"/>
      </w:divBdr>
    </w:div>
    <w:div w:id="338702070">
      <w:bodyDiv w:val="1"/>
      <w:marLeft w:val="0"/>
      <w:marRight w:val="0"/>
      <w:marTop w:val="0"/>
      <w:marBottom w:val="0"/>
      <w:divBdr>
        <w:top w:val="none" w:sz="0" w:space="0" w:color="auto"/>
        <w:left w:val="none" w:sz="0" w:space="0" w:color="auto"/>
        <w:bottom w:val="none" w:sz="0" w:space="0" w:color="auto"/>
        <w:right w:val="none" w:sz="0" w:space="0" w:color="auto"/>
      </w:divBdr>
    </w:div>
    <w:div w:id="350884405">
      <w:bodyDiv w:val="1"/>
      <w:marLeft w:val="0"/>
      <w:marRight w:val="0"/>
      <w:marTop w:val="0"/>
      <w:marBottom w:val="0"/>
      <w:divBdr>
        <w:top w:val="none" w:sz="0" w:space="0" w:color="auto"/>
        <w:left w:val="none" w:sz="0" w:space="0" w:color="auto"/>
        <w:bottom w:val="none" w:sz="0" w:space="0" w:color="auto"/>
        <w:right w:val="none" w:sz="0" w:space="0" w:color="auto"/>
      </w:divBdr>
    </w:div>
    <w:div w:id="427506080">
      <w:bodyDiv w:val="1"/>
      <w:marLeft w:val="0"/>
      <w:marRight w:val="0"/>
      <w:marTop w:val="0"/>
      <w:marBottom w:val="0"/>
      <w:divBdr>
        <w:top w:val="none" w:sz="0" w:space="0" w:color="auto"/>
        <w:left w:val="none" w:sz="0" w:space="0" w:color="auto"/>
        <w:bottom w:val="none" w:sz="0" w:space="0" w:color="auto"/>
        <w:right w:val="none" w:sz="0" w:space="0" w:color="auto"/>
      </w:divBdr>
    </w:div>
    <w:div w:id="526875013">
      <w:bodyDiv w:val="1"/>
      <w:marLeft w:val="0"/>
      <w:marRight w:val="0"/>
      <w:marTop w:val="0"/>
      <w:marBottom w:val="0"/>
      <w:divBdr>
        <w:top w:val="none" w:sz="0" w:space="0" w:color="auto"/>
        <w:left w:val="none" w:sz="0" w:space="0" w:color="auto"/>
        <w:bottom w:val="none" w:sz="0" w:space="0" w:color="auto"/>
        <w:right w:val="none" w:sz="0" w:space="0" w:color="auto"/>
      </w:divBdr>
    </w:div>
    <w:div w:id="528685645">
      <w:bodyDiv w:val="1"/>
      <w:marLeft w:val="0"/>
      <w:marRight w:val="0"/>
      <w:marTop w:val="0"/>
      <w:marBottom w:val="0"/>
      <w:divBdr>
        <w:top w:val="none" w:sz="0" w:space="0" w:color="auto"/>
        <w:left w:val="none" w:sz="0" w:space="0" w:color="auto"/>
        <w:bottom w:val="none" w:sz="0" w:space="0" w:color="auto"/>
        <w:right w:val="none" w:sz="0" w:space="0" w:color="auto"/>
      </w:divBdr>
    </w:div>
    <w:div w:id="559444968">
      <w:bodyDiv w:val="1"/>
      <w:marLeft w:val="0"/>
      <w:marRight w:val="0"/>
      <w:marTop w:val="0"/>
      <w:marBottom w:val="0"/>
      <w:divBdr>
        <w:top w:val="none" w:sz="0" w:space="0" w:color="auto"/>
        <w:left w:val="none" w:sz="0" w:space="0" w:color="auto"/>
        <w:bottom w:val="none" w:sz="0" w:space="0" w:color="auto"/>
        <w:right w:val="none" w:sz="0" w:space="0" w:color="auto"/>
      </w:divBdr>
    </w:div>
    <w:div w:id="563443504">
      <w:bodyDiv w:val="1"/>
      <w:marLeft w:val="0"/>
      <w:marRight w:val="0"/>
      <w:marTop w:val="0"/>
      <w:marBottom w:val="0"/>
      <w:divBdr>
        <w:top w:val="none" w:sz="0" w:space="0" w:color="auto"/>
        <w:left w:val="none" w:sz="0" w:space="0" w:color="auto"/>
        <w:bottom w:val="none" w:sz="0" w:space="0" w:color="auto"/>
        <w:right w:val="none" w:sz="0" w:space="0" w:color="auto"/>
      </w:divBdr>
    </w:div>
    <w:div w:id="614481419">
      <w:bodyDiv w:val="1"/>
      <w:marLeft w:val="0"/>
      <w:marRight w:val="0"/>
      <w:marTop w:val="0"/>
      <w:marBottom w:val="0"/>
      <w:divBdr>
        <w:top w:val="none" w:sz="0" w:space="0" w:color="auto"/>
        <w:left w:val="none" w:sz="0" w:space="0" w:color="auto"/>
        <w:bottom w:val="none" w:sz="0" w:space="0" w:color="auto"/>
        <w:right w:val="none" w:sz="0" w:space="0" w:color="auto"/>
      </w:divBdr>
    </w:div>
    <w:div w:id="688410573">
      <w:bodyDiv w:val="1"/>
      <w:marLeft w:val="0"/>
      <w:marRight w:val="0"/>
      <w:marTop w:val="0"/>
      <w:marBottom w:val="0"/>
      <w:divBdr>
        <w:top w:val="none" w:sz="0" w:space="0" w:color="auto"/>
        <w:left w:val="none" w:sz="0" w:space="0" w:color="auto"/>
        <w:bottom w:val="none" w:sz="0" w:space="0" w:color="auto"/>
        <w:right w:val="none" w:sz="0" w:space="0" w:color="auto"/>
      </w:divBdr>
    </w:div>
    <w:div w:id="746072389">
      <w:bodyDiv w:val="1"/>
      <w:marLeft w:val="0"/>
      <w:marRight w:val="0"/>
      <w:marTop w:val="0"/>
      <w:marBottom w:val="0"/>
      <w:divBdr>
        <w:top w:val="none" w:sz="0" w:space="0" w:color="auto"/>
        <w:left w:val="none" w:sz="0" w:space="0" w:color="auto"/>
        <w:bottom w:val="none" w:sz="0" w:space="0" w:color="auto"/>
        <w:right w:val="none" w:sz="0" w:space="0" w:color="auto"/>
      </w:divBdr>
    </w:div>
    <w:div w:id="747850990">
      <w:bodyDiv w:val="1"/>
      <w:marLeft w:val="0"/>
      <w:marRight w:val="0"/>
      <w:marTop w:val="0"/>
      <w:marBottom w:val="0"/>
      <w:divBdr>
        <w:top w:val="none" w:sz="0" w:space="0" w:color="auto"/>
        <w:left w:val="none" w:sz="0" w:space="0" w:color="auto"/>
        <w:bottom w:val="none" w:sz="0" w:space="0" w:color="auto"/>
        <w:right w:val="none" w:sz="0" w:space="0" w:color="auto"/>
      </w:divBdr>
    </w:div>
    <w:div w:id="818886604">
      <w:bodyDiv w:val="1"/>
      <w:marLeft w:val="0"/>
      <w:marRight w:val="0"/>
      <w:marTop w:val="0"/>
      <w:marBottom w:val="0"/>
      <w:divBdr>
        <w:top w:val="none" w:sz="0" w:space="0" w:color="auto"/>
        <w:left w:val="none" w:sz="0" w:space="0" w:color="auto"/>
        <w:bottom w:val="none" w:sz="0" w:space="0" w:color="auto"/>
        <w:right w:val="none" w:sz="0" w:space="0" w:color="auto"/>
      </w:divBdr>
    </w:div>
    <w:div w:id="828717571">
      <w:bodyDiv w:val="1"/>
      <w:marLeft w:val="0"/>
      <w:marRight w:val="0"/>
      <w:marTop w:val="0"/>
      <w:marBottom w:val="0"/>
      <w:divBdr>
        <w:top w:val="none" w:sz="0" w:space="0" w:color="auto"/>
        <w:left w:val="none" w:sz="0" w:space="0" w:color="auto"/>
        <w:bottom w:val="none" w:sz="0" w:space="0" w:color="auto"/>
        <w:right w:val="none" w:sz="0" w:space="0" w:color="auto"/>
      </w:divBdr>
    </w:div>
    <w:div w:id="876505074">
      <w:bodyDiv w:val="1"/>
      <w:marLeft w:val="0"/>
      <w:marRight w:val="0"/>
      <w:marTop w:val="0"/>
      <w:marBottom w:val="0"/>
      <w:divBdr>
        <w:top w:val="none" w:sz="0" w:space="0" w:color="auto"/>
        <w:left w:val="none" w:sz="0" w:space="0" w:color="auto"/>
        <w:bottom w:val="none" w:sz="0" w:space="0" w:color="auto"/>
        <w:right w:val="none" w:sz="0" w:space="0" w:color="auto"/>
      </w:divBdr>
    </w:div>
    <w:div w:id="1000697202">
      <w:bodyDiv w:val="1"/>
      <w:marLeft w:val="0"/>
      <w:marRight w:val="0"/>
      <w:marTop w:val="0"/>
      <w:marBottom w:val="0"/>
      <w:divBdr>
        <w:top w:val="none" w:sz="0" w:space="0" w:color="auto"/>
        <w:left w:val="none" w:sz="0" w:space="0" w:color="auto"/>
        <w:bottom w:val="none" w:sz="0" w:space="0" w:color="auto"/>
        <w:right w:val="none" w:sz="0" w:space="0" w:color="auto"/>
      </w:divBdr>
    </w:div>
    <w:div w:id="1011955435">
      <w:bodyDiv w:val="1"/>
      <w:marLeft w:val="0"/>
      <w:marRight w:val="0"/>
      <w:marTop w:val="0"/>
      <w:marBottom w:val="0"/>
      <w:divBdr>
        <w:top w:val="none" w:sz="0" w:space="0" w:color="auto"/>
        <w:left w:val="none" w:sz="0" w:space="0" w:color="auto"/>
        <w:bottom w:val="none" w:sz="0" w:space="0" w:color="auto"/>
        <w:right w:val="none" w:sz="0" w:space="0" w:color="auto"/>
      </w:divBdr>
    </w:div>
    <w:div w:id="1017728253">
      <w:bodyDiv w:val="1"/>
      <w:marLeft w:val="0"/>
      <w:marRight w:val="0"/>
      <w:marTop w:val="0"/>
      <w:marBottom w:val="0"/>
      <w:divBdr>
        <w:top w:val="none" w:sz="0" w:space="0" w:color="auto"/>
        <w:left w:val="none" w:sz="0" w:space="0" w:color="auto"/>
        <w:bottom w:val="none" w:sz="0" w:space="0" w:color="auto"/>
        <w:right w:val="none" w:sz="0" w:space="0" w:color="auto"/>
      </w:divBdr>
    </w:div>
    <w:div w:id="1017922428">
      <w:bodyDiv w:val="1"/>
      <w:marLeft w:val="0"/>
      <w:marRight w:val="0"/>
      <w:marTop w:val="0"/>
      <w:marBottom w:val="0"/>
      <w:divBdr>
        <w:top w:val="none" w:sz="0" w:space="0" w:color="auto"/>
        <w:left w:val="none" w:sz="0" w:space="0" w:color="auto"/>
        <w:bottom w:val="none" w:sz="0" w:space="0" w:color="auto"/>
        <w:right w:val="none" w:sz="0" w:space="0" w:color="auto"/>
      </w:divBdr>
    </w:div>
    <w:div w:id="1090851924">
      <w:bodyDiv w:val="1"/>
      <w:marLeft w:val="0"/>
      <w:marRight w:val="0"/>
      <w:marTop w:val="0"/>
      <w:marBottom w:val="0"/>
      <w:divBdr>
        <w:top w:val="none" w:sz="0" w:space="0" w:color="auto"/>
        <w:left w:val="none" w:sz="0" w:space="0" w:color="auto"/>
        <w:bottom w:val="none" w:sz="0" w:space="0" w:color="auto"/>
        <w:right w:val="none" w:sz="0" w:space="0" w:color="auto"/>
      </w:divBdr>
    </w:div>
    <w:div w:id="1099642610">
      <w:bodyDiv w:val="1"/>
      <w:marLeft w:val="0"/>
      <w:marRight w:val="0"/>
      <w:marTop w:val="0"/>
      <w:marBottom w:val="0"/>
      <w:divBdr>
        <w:top w:val="none" w:sz="0" w:space="0" w:color="auto"/>
        <w:left w:val="none" w:sz="0" w:space="0" w:color="auto"/>
        <w:bottom w:val="none" w:sz="0" w:space="0" w:color="auto"/>
        <w:right w:val="none" w:sz="0" w:space="0" w:color="auto"/>
      </w:divBdr>
    </w:div>
    <w:div w:id="1113599151">
      <w:bodyDiv w:val="1"/>
      <w:marLeft w:val="0"/>
      <w:marRight w:val="0"/>
      <w:marTop w:val="0"/>
      <w:marBottom w:val="0"/>
      <w:divBdr>
        <w:top w:val="none" w:sz="0" w:space="0" w:color="auto"/>
        <w:left w:val="none" w:sz="0" w:space="0" w:color="auto"/>
        <w:bottom w:val="none" w:sz="0" w:space="0" w:color="auto"/>
        <w:right w:val="none" w:sz="0" w:space="0" w:color="auto"/>
      </w:divBdr>
    </w:div>
    <w:div w:id="1142962194">
      <w:bodyDiv w:val="1"/>
      <w:marLeft w:val="0"/>
      <w:marRight w:val="0"/>
      <w:marTop w:val="0"/>
      <w:marBottom w:val="0"/>
      <w:divBdr>
        <w:top w:val="none" w:sz="0" w:space="0" w:color="auto"/>
        <w:left w:val="none" w:sz="0" w:space="0" w:color="auto"/>
        <w:bottom w:val="none" w:sz="0" w:space="0" w:color="auto"/>
        <w:right w:val="none" w:sz="0" w:space="0" w:color="auto"/>
      </w:divBdr>
    </w:div>
    <w:div w:id="1205480949">
      <w:bodyDiv w:val="1"/>
      <w:marLeft w:val="0"/>
      <w:marRight w:val="0"/>
      <w:marTop w:val="0"/>
      <w:marBottom w:val="0"/>
      <w:divBdr>
        <w:top w:val="none" w:sz="0" w:space="0" w:color="auto"/>
        <w:left w:val="none" w:sz="0" w:space="0" w:color="auto"/>
        <w:bottom w:val="none" w:sz="0" w:space="0" w:color="auto"/>
        <w:right w:val="none" w:sz="0" w:space="0" w:color="auto"/>
      </w:divBdr>
    </w:div>
    <w:div w:id="1209608314">
      <w:bodyDiv w:val="1"/>
      <w:marLeft w:val="0"/>
      <w:marRight w:val="0"/>
      <w:marTop w:val="0"/>
      <w:marBottom w:val="0"/>
      <w:divBdr>
        <w:top w:val="none" w:sz="0" w:space="0" w:color="auto"/>
        <w:left w:val="none" w:sz="0" w:space="0" w:color="auto"/>
        <w:bottom w:val="none" w:sz="0" w:space="0" w:color="auto"/>
        <w:right w:val="none" w:sz="0" w:space="0" w:color="auto"/>
      </w:divBdr>
    </w:div>
    <w:div w:id="1229725161">
      <w:bodyDiv w:val="1"/>
      <w:marLeft w:val="0"/>
      <w:marRight w:val="0"/>
      <w:marTop w:val="0"/>
      <w:marBottom w:val="0"/>
      <w:divBdr>
        <w:top w:val="none" w:sz="0" w:space="0" w:color="auto"/>
        <w:left w:val="none" w:sz="0" w:space="0" w:color="auto"/>
        <w:bottom w:val="none" w:sz="0" w:space="0" w:color="auto"/>
        <w:right w:val="none" w:sz="0" w:space="0" w:color="auto"/>
      </w:divBdr>
    </w:div>
    <w:div w:id="1230189567">
      <w:bodyDiv w:val="1"/>
      <w:marLeft w:val="0"/>
      <w:marRight w:val="0"/>
      <w:marTop w:val="0"/>
      <w:marBottom w:val="0"/>
      <w:divBdr>
        <w:top w:val="none" w:sz="0" w:space="0" w:color="auto"/>
        <w:left w:val="none" w:sz="0" w:space="0" w:color="auto"/>
        <w:bottom w:val="none" w:sz="0" w:space="0" w:color="auto"/>
        <w:right w:val="none" w:sz="0" w:space="0" w:color="auto"/>
      </w:divBdr>
    </w:div>
    <w:div w:id="1306396465">
      <w:bodyDiv w:val="1"/>
      <w:marLeft w:val="0"/>
      <w:marRight w:val="0"/>
      <w:marTop w:val="0"/>
      <w:marBottom w:val="0"/>
      <w:divBdr>
        <w:top w:val="none" w:sz="0" w:space="0" w:color="auto"/>
        <w:left w:val="none" w:sz="0" w:space="0" w:color="auto"/>
        <w:bottom w:val="none" w:sz="0" w:space="0" w:color="auto"/>
        <w:right w:val="none" w:sz="0" w:space="0" w:color="auto"/>
      </w:divBdr>
    </w:div>
    <w:div w:id="1306861325">
      <w:bodyDiv w:val="1"/>
      <w:marLeft w:val="0"/>
      <w:marRight w:val="0"/>
      <w:marTop w:val="0"/>
      <w:marBottom w:val="0"/>
      <w:divBdr>
        <w:top w:val="none" w:sz="0" w:space="0" w:color="auto"/>
        <w:left w:val="none" w:sz="0" w:space="0" w:color="auto"/>
        <w:bottom w:val="none" w:sz="0" w:space="0" w:color="auto"/>
        <w:right w:val="none" w:sz="0" w:space="0" w:color="auto"/>
      </w:divBdr>
    </w:div>
    <w:div w:id="1359773419">
      <w:bodyDiv w:val="1"/>
      <w:marLeft w:val="0"/>
      <w:marRight w:val="0"/>
      <w:marTop w:val="0"/>
      <w:marBottom w:val="0"/>
      <w:divBdr>
        <w:top w:val="none" w:sz="0" w:space="0" w:color="auto"/>
        <w:left w:val="none" w:sz="0" w:space="0" w:color="auto"/>
        <w:bottom w:val="none" w:sz="0" w:space="0" w:color="auto"/>
        <w:right w:val="none" w:sz="0" w:space="0" w:color="auto"/>
      </w:divBdr>
    </w:div>
    <w:div w:id="1411459953">
      <w:bodyDiv w:val="1"/>
      <w:marLeft w:val="0"/>
      <w:marRight w:val="0"/>
      <w:marTop w:val="0"/>
      <w:marBottom w:val="0"/>
      <w:divBdr>
        <w:top w:val="none" w:sz="0" w:space="0" w:color="auto"/>
        <w:left w:val="none" w:sz="0" w:space="0" w:color="auto"/>
        <w:bottom w:val="none" w:sz="0" w:space="0" w:color="auto"/>
        <w:right w:val="none" w:sz="0" w:space="0" w:color="auto"/>
      </w:divBdr>
    </w:div>
    <w:div w:id="1465778523">
      <w:bodyDiv w:val="1"/>
      <w:marLeft w:val="0"/>
      <w:marRight w:val="0"/>
      <w:marTop w:val="0"/>
      <w:marBottom w:val="0"/>
      <w:divBdr>
        <w:top w:val="none" w:sz="0" w:space="0" w:color="auto"/>
        <w:left w:val="none" w:sz="0" w:space="0" w:color="auto"/>
        <w:bottom w:val="none" w:sz="0" w:space="0" w:color="auto"/>
        <w:right w:val="none" w:sz="0" w:space="0" w:color="auto"/>
      </w:divBdr>
    </w:div>
    <w:div w:id="1526752296">
      <w:bodyDiv w:val="1"/>
      <w:marLeft w:val="0"/>
      <w:marRight w:val="0"/>
      <w:marTop w:val="0"/>
      <w:marBottom w:val="0"/>
      <w:divBdr>
        <w:top w:val="none" w:sz="0" w:space="0" w:color="auto"/>
        <w:left w:val="none" w:sz="0" w:space="0" w:color="auto"/>
        <w:bottom w:val="none" w:sz="0" w:space="0" w:color="auto"/>
        <w:right w:val="none" w:sz="0" w:space="0" w:color="auto"/>
      </w:divBdr>
    </w:div>
    <w:div w:id="1531842820">
      <w:bodyDiv w:val="1"/>
      <w:marLeft w:val="0"/>
      <w:marRight w:val="0"/>
      <w:marTop w:val="0"/>
      <w:marBottom w:val="0"/>
      <w:divBdr>
        <w:top w:val="none" w:sz="0" w:space="0" w:color="auto"/>
        <w:left w:val="none" w:sz="0" w:space="0" w:color="auto"/>
        <w:bottom w:val="none" w:sz="0" w:space="0" w:color="auto"/>
        <w:right w:val="none" w:sz="0" w:space="0" w:color="auto"/>
      </w:divBdr>
    </w:div>
    <w:div w:id="1532107884">
      <w:bodyDiv w:val="1"/>
      <w:marLeft w:val="0"/>
      <w:marRight w:val="0"/>
      <w:marTop w:val="0"/>
      <w:marBottom w:val="0"/>
      <w:divBdr>
        <w:top w:val="none" w:sz="0" w:space="0" w:color="auto"/>
        <w:left w:val="none" w:sz="0" w:space="0" w:color="auto"/>
        <w:bottom w:val="none" w:sz="0" w:space="0" w:color="auto"/>
        <w:right w:val="none" w:sz="0" w:space="0" w:color="auto"/>
      </w:divBdr>
    </w:div>
    <w:div w:id="1582369989">
      <w:bodyDiv w:val="1"/>
      <w:marLeft w:val="0"/>
      <w:marRight w:val="0"/>
      <w:marTop w:val="0"/>
      <w:marBottom w:val="0"/>
      <w:divBdr>
        <w:top w:val="none" w:sz="0" w:space="0" w:color="auto"/>
        <w:left w:val="none" w:sz="0" w:space="0" w:color="auto"/>
        <w:bottom w:val="none" w:sz="0" w:space="0" w:color="auto"/>
        <w:right w:val="none" w:sz="0" w:space="0" w:color="auto"/>
      </w:divBdr>
    </w:div>
    <w:div w:id="1583946992">
      <w:bodyDiv w:val="1"/>
      <w:marLeft w:val="0"/>
      <w:marRight w:val="0"/>
      <w:marTop w:val="0"/>
      <w:marBottom w:val="0"/>
      <w:divBdr>
        <w:top w:val="none" w:sz="0" w:space="0" w:color="auto"/>
        <w:left w:val="none" w:sz="0" w:space="0" w:color="auto"/>
        <w:bottom w:val="none" w:sz="0" w:space="0" w:color="auto"/>
        <w:right w:val="none" w:sz="0" w:space="0" w:color="auto"/>
      </w:divBdr>
    </w:div>
    <w:div w:id="1641182056">
      <w:bodyDiv w:val="1"/>
      <w:marLeft w:val="0"/>
      <w:marRight w:val="0"/>
      <w:marTop w:val="0"/>
      <w:marBottom w:val="0"/>
      <w:divBdr>
        <w:top w:val="none" w:sz="0" w:space="0" w:color="auto"/>
        <w:left w:val="none" w:sz="0" w:space="0" w:color="auto"/>
        <w:bottom w:val="none" w:sz="0" w:space="0" w:color="auto"/>
        <w:right w:val="none" w:sz="0" w:space="0" w:color="auto"/>
      </w:divBdr>
    </w:div>
    <w:div w:id="1647003124">
      <w:bodyDiv w:val="1"/>
      <w:marLeft w:val="0"/>
      <w:marRight w:val="0"/>
      <w:marTop w:val="0"/>
      <w:marBottom w:val="0"/>
      <w:divBdr>
        <w:top w:val="none" w:sz="0" w:space="0" w:color="auto"/>
        <w:left w:val="none" w:sz="0" w:space="0" w:color="auto"/>
        <w:bottom w:val="none" w:sz="0" w:space="0" w:color="auto"/>
        <w:right w:val="none" w:sz="0" w:space="0" w:color="auto"/>
      </w:divBdr>
    </w:div>
    <w:div w:id="1661731288">
      <w:bodyDiv w:val="1"/>
      <w:marLeft w:val="0"/>
      <w:marRight w:val="0"/>
      <w:marTop w:val="0"/>
      <w:marBottom w:val="0"/>
      <w:divBdr>
        <w:top w:val="none" w:sz="0" w:space="0" w:color="auto"/>
        <w:left w:val="none" w:sz="0" w:space="0" w:color="auto"/>
        <w:bottom w:val="none" w:sz="0" w:space="0" w:color="auto"/>
        <w:right w:val="none" w:sz="0" w:space="0" w:color="auto"/>
      </w:divBdr>
    </w:div>
    <w:div w:id="1756396067">
      <w:bodyDiv w:val="1"/>
      <w:marLeft w:val="0"/>
      <w:marRight w:val="0"/>
      <w:marTop w:val="0"/>
      <w:marBottom w:val="0"/>
      <w:divBdr>
        <w:top w:val="none" w:sz="0" w:space="0" w:color="auto"/>
        <w:left w:val="none" w:sz="0" w:space="0" w:color="auto"/>
        <w:bottom w:val="none" w:sz="0" w:space="0" w:color="auto"/>
        <w:right w:val="none" w:sz="0" w:space="0" w:color="auto"/>
      </w:divBdr>
    </w:div>
    <w:div w:id="1839540558">
      <w:bodyDiv w:val="1"/>
      <w:marLeft w:val="0"/>
      <w:marRight w:val="0"/>
      <w:marTop w:val="0"/>
      <w:marBottom w:val="0"/>
      <w:divBdr>
        <w:top w:val="none" w:sz="0" w:space="0" w:color="auto"/>
        <w:left w:val="none" w:sz="0" w:space="0" w:color="auto"/>
        <w:bottom w:val="none" w:sz="0" w:space="0" w:color="auto"/>
        <w:right w:val="none" w:sz="0" w:space="0" w:color="auto"/>
      </w:divBdr>
    </w:div>
    <w:div w:id="1866627882">
      <w:bodyDiv w:val="1"/>
      <w:marLeft w:val="0"/>
      <w:marRight w:val="0"/>
      <w:marTop w:val="0"/>
      <w:marBottom w:val="0"/>
      <w:divBdr>
        <w:top w:val="none" w:sz="0" w:space="0" w:color="auto"/>
        <w:left w:val="none" w:sz="0" w:space="0" w:color="auto"/>
        <w:bottom w:val="none" w:sz="0" w:space="0" w:color="auto"/>
        <w:right w:val="none" w:sz="0" w:space="0" w:color="auto"/>
      </w:divBdr>
    </w:div>
    <w:div w:id="1897889301">
      <w:bodyDiv w:val="1"/>
      <w:marLeft w:val="0"/>
      <w:marRight w:val="0"/>
      <w:marTop w:val="0"/>
      <w:marBottom w:val="0"/>
      <w:divBdr>
        <w:top w:val="none" w:sz="0" w:space="0" w:color="auto"/>
        <w:left w:val="none" w:sz="0" w:space="0" w:color="auto"/>
        <w:bottom w:val="none" w:sz="0" w:space="0" w:color="auto"/>
        <w:right w:val="none" w:sz="0" w:space="0" w:color="auto"/>
      </w:divBdr>
    </w:div>
    <w:div w:id="1918438000">
      <w:bodyDiv w:val="1"/>
      <w:marLeft w:val="0"/>
      <w:marRight w:val="0"/>
      <w:marTop w:val="0"/>
      <w:marBottom w:val="0"/>
      <w:divBdr>
        <w:top w:val="none" w:sz="0" w:space="0" w:color="auto"/>
        <w:left w:val="none" w:sz="0" w:space="0" w:color="auto"/>
        <w:bottom w:val="none" w:sz="0" w:space="0" w:color="auto"/>
        <w:right w:val="none" w:sz="0" w:space="0" w:color="auto"/>
      </w:divBdr>
    </w:div>
    <w:div w:id="1918587077">
      <w:bodyDiv w:val="1"/>
      <w:marLeft w:val="0"/>
      <w:marRight w:val="0"/>
      <w:marTop w:val="0"/>
      <w:marBottom w:val="0"/>
      <w:divBdr>
        <w:top w:val="none" w:sz="0" w:space="0" w:color="auto"/>
        <w:left w:val="none" w:sz="0" w:space="0" w:color="auto"/>
        <w:bottom w:val="none" w:sz="0" w:space="0" w:color="auto"/>
        <w:right w:val="none" w:sz="0" w:space="0" w:color="auto"/>
      </w:divBdr>
    </w:div>
    <w:div w:id="1923877542">
      <w:bodyDiv w:val="1"/>
      <w:marLeft w:val="0"/>
      <w:marRight w:val="0"/>
      <w:marTop w:val="0"/>
      <w:marBottom w:val="0"/>
      <w:divBdr>
        <w:top w:val="none" w:sz="0" w:space="0" w:color="auto"/>
        <w:left w:val="none" w:sz="0" w:space="0" w:color="auto"/>
        <w:bottom w:val="none" w:sz="0" w:space="0" w:color="auto"/>
        <w:right w:val="none" w:sz="0" w:space="0" w:color="auto"/>
      </w:divBdr>
    </w:div>
    <w:div w:id="1935088122">
      <w:bodyDiv w:val="1"/>
      <w:marLeft w:val="0"/>
      <w:marRight w:val="0"/>
      <w:marTop w:val="0"/>
      <w:marBottom w:val="0"/>
      <w:divBdr>
        <w:top w:val="none" w:sz="0" w:space="0" w:color="auto"/>
        <w:left w:val="none" w:sz="0" w:space="0" w:color="auto"/>
        <w:bottom w:val="none" w:sz="0" w:space="0" w:color="auto"/>
        <w:right w:val="none" w:sz="0" w:space="0" w:color="auto"/>
      </w:divBdr>
    </w:div>
    <w:div w:id="2012563878">
      <w:bodyDiv w:val="1"/>
      <w:marLeft w:val="0"/>
      <w:marRight w:val="0"/>
      <w:marTop w:val="0"/>
      <w:marBottom w:val="0"/>
      <w:divBdr>
        <w:top w:val="none" w:sz="0" w:space="0" w:color="auto"/>
        <w:left w:val="none" w:sz="0" w:space="0" w:color="auto"/>
        <w:bottom w:val="none" w:sz="0" w:space="0" w:color="auto"/>
        <w:right w:val="none" w:sz="0" w:space="0" w:color="auto"/>
      </w:divBdr>
    </w:div>
    <w:div w:id="2034962289">
      <w:bodyDiv w:val="1"/>
      <w:marLeft w:val="0"/>
      <w:marRight w:val="0"/>
      <w:marTop w:val="0"/>
      <w:marBottom w:val="0"/>
      <w:divBdr>
        <w:top w:val="none" w:sz="0" w:space="0" w:color="auto"/>
        <w:left w:val="none" w:sz="0" w:space="0" w:color="auto"/>
        <w:bottom w:val="none" w:sz="0" w:space="0" w:color="auto"/>
        <w:right w:val="none" w:sz="0" w:space="0" w:color="auto"/>
      </w:divBdr>
    </w:div>
    <w:div w:id="2049525487">
      <w:bodyDiv w:val="1"/>
      <w:marLeft w:val="0"/>
      <w:marRight w:val="0"/>
      <w:marTop w:val="0"/>
      <w:marBottom w:val="0"/>
      <w:divBdr>
        <w:top w:val="none" w:sz="0" w:space="0" w:color="auto"/>
        <w:left w:val="none" w:sz="0" w:space="0" w:color="auto"/>
        <w:bottom w:val="none" w:sz="0" w:space="0" w:color="auto"/>
        <w:right w:val="none" w:sz="0" w:space="0" w:color="auto"/>
      </w:divBdr>
    </w:div>
    <w:div w:id="2051490564">
      <w:bodyDiv w:val="1"/>
      <w:marLeft w:val="0"/>
      <w:marRight w:val="0"/>
      <w:marTop w:val="0"/>
      <w:marBottom w:val="0"/>
      <w:divBdr>
        <w:top w:val="none" w:sz="0" w:space="0" w:color="auto"/>
        <w:left w:val="none" w:sz="0" w:space="0" w:color="auto"/>
        <w:bottom w:val="none" w:sz="0" w:space="0" w:color="auto"/>
        <w:right w:val="none" w:sz="0" w:space="0" w:color="auto"/>
      </w:divBdr>
    </w:div>
    <w:div w:id="2091809159">
      <w:bodyDiv w:val="1"/>
      <w:marLeft w:val="0"/>
      <w:marRight w:val="0"/>
      <w:marTop w:val="0"/>
      <w:marBottom w:val="0"/>
      <w:divBdr>
        <w:top w:val="none" w:sz="0" w:space="0" w:color="auto"/>
        <w:left w:val="none" w:sz="0" w:space="0" w:color="auto"/>
        <w:bottom w:val="none" w:sz="0" w:space="0" w:color="auto"/>
        <w:right w:val="none" w:sz="0" w:space="0" w:color="auto"/>
      </w:divBdr>
    </w:div>
    <w:div w:id="2092852229">
      <w:bodyDiv w:val="1"/>
      <w:marLeft w:val="0"/>
      <w:marRight w:val="0"/>
      <w:marTop w:val="0"/>
      <w:marBottom w:val="0"/>
      <w:divBdr>
        <w:top w:val="none" w:sz="0" w:space="0" w:color="auto"/>
        <w:left w:val="none" w:sz="0" w:space="0" w:color="auto"/>
        <w:bottom w:val="none" w:sz="0" w:space="0" w:color="auto"/>
        <w:right w:val="none" w:sz="0" w:space="0" w:color="auto"/>
      </w:divBdr>
    </w:div>
    <w:div w:id="2109496315">
      <w:bodyDiv w:val="1"/>
      <w:marLeft w:val="0"/>
      <w:marRight w:val="0"/>
      <w:marTop w:val="0"/>
      <w:marBottom w:val="0"/>
      <w:divBdr>
        <w:top w:val="none" w:sz="0" w:space="0" w:color="auto"/>
        <w:left w:val="none" w:sz="0" w:space="0" w:color="auto"/>
        <w:bottom w:val="none" w:sz="0" w:space="0" w:color="auto"/>
        <w:right w:val="none" w:sz="0" w:space="0" w:color="auto"/>
      </w:divBdr>
    </w:div>
    <w:div w:id="2112506307">
      <w:bodyDiv w:val="1"/>
      <w:marLeft w:val="0"/>
      <w:marRight w:val="0"/>
      <w:marTop w:val="0"/>
      <w:marBottom w:val="0"/>
      <w:divBdr>
        <w:top w:val="none" w:sz="0" w:space="0" w:color="auto"/>
        <w:left w:val="none" w:sz="0" w:space="0" w:color="auto"/>
        <w:bottom w:val="none" w:sz="0" w:space="0" w:color="auto"/>
        <w:right w:val="none" w:sz="0" w:space="0" w:color="auto"/>
      </w:divBdr>
    </w:div>
    <w:div w:id="2122675593">
      <w:bodyDiv w:val="1"/>
      <w:marLeft w:val="0"/>
      <w:marRight w:val="0"/>
      <w:marTop w:val="0"/>
      <w:marBottom w:val="0"/>
      <w:divBdr>
        <w:top w:val="none" w:sz="0" w:space="0" w:color="auto"/>
        <w:left w:val="none" w:sz="0" w:space="0" w:color="auto"/>
        <w:bottom w:val="none" w:sz="0" w:space="0" w:color="auto"/>
        <w:right w:val="none" w:sz="0" w:space="0" w:color="auto"/>
      </w:divBdr>
    </w:div>
    <w:div w:id="213424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FD364-67A6-419B-917B-CE73CC86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6817</Words>
  <Characters>38863</Characters>
  <Application>Microsoft Office Word</Application>
  <DocSecurity>4</DocSecurity>
  <Lines>323</Lines>
  <Paragraphs>91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Ferdinando Natale</cp:lastModifiedBy>
  <cp:revision>2</cp:revision>
  <dcterms:created xsi:type="dcterms:W3CDTF">2013-02-18T11:11:00Z</dcterms:created>
  <dcterms:modified xsi:type="dcterms:W3CDTF">2013-02-18T11:11:00Z</dcterms:modified>
</cp:coreProperties>
</file>